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тепловых пушек</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Требования охраны труда, изложенные в настоящей Инструкции, распространяются на лиц, выполняющих работу оператора тепловых пушек.</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Статья 212, 214, 221, 225 </w:t>
      </w:r>
      <w:r>
        <w:rPr>
          <w:rFonts w:hAnsi="Times New Roman" w:cs="Times New Roman"/>
          <w:color w:val="000000"/>
          <w:sz w:val="24"/>
          <w:szCs w:val="24"/>
        </w:rPr>
        <w:t>Трудового кодекса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Порядок обучения по охране труда и проверки знания требований охраны труда, 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Приказ Минздрава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Правила противопожарного режима в РФ, утвержденные 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w:t>
      </w:r>
      <w:r>
        <w:rPr>
          <w:rFonts w:hAnsi="Times New Roman" w:cs="Times New Roman"/>
          <w:color w:val="000000"/>
          <w:sz w:val="24"/>
          <w:szCs w:val="24"/>
        </w:rPr>
        <w:t>Перечень мероприятий по оказанию первой помощи и перечень состояний, при которых оказывается первая помощь, утвержденные 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тепловых пушек допускаются лица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Правилами внутреннего трудового распорядка </w:t>
      </w:r>
      <w:r>
        <w:rPr>
          <w:rFonts w:hAnsi="Times New Roman" w:cs="Times New Roman"/>
          <w:color w:val="000000"/>
          <w:sz w:val="24"/>
          <w:szCs w:val="24"/>
        </w:rPr>
        <w:t>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механического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оборудования, изделий;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влажность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подвижность воздуха;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падения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нормами бесплатной выдачи спецодежды, спецобуви и других средств индивидуальной защиты, утвержденными приказом </w:t>
      </w:r>
      <w:r>
        <w:rPr>
          <w:rFonts w:hAnsi="Times New Roman" w:cs="Times New Roman"/>
          <w:color w:val="000000"/>
          <w:sz w:val="24"/>
          <w:szCs w:val="24"/>
        </w:rPr>
        <w:t>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3.5.2. Работнику, занятому на работах, связанных с трудносмываемыми загрязнениями (маслами, смазками, нефтепродуктами и др.), выдаются смывающие и обезвреживающие средства для рук в соответствии "Типовыми нормами бесплатной выдачи работникам смывающих и (или) обезвреживающих средств", утвержденных приказом </w:t>
      </w:r>
      <w:r>
        <w:rPr>
          <w:rFonts w:hAnsi="Times New Roman" w:cs="Times New Roman"/>
          <w:color w:val="000000"/>
          <w:sz w:val="24"/>
          <w:szCs w:val="24"/>
        </w:rPr>
        <w:t>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3.5.3.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3.5.4.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3.5.5.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оператор обязан: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местной вытяжной вентиляции, воздушного душирования и</w:t>
      </w:r>
      <w:r>
        <w:br/>
      </w:r>
      <w:r>
        <w:rPr>
          <w:rFonts w:hAnsi="Times New Roman" w:cs="Times New Roman"/>
          <w:color w:val="000000"/>
          <w:sz w:val="24"/>
          <w:szCs w:val="24"/>
        </w:rPr>
        <w:t>оснащенность рабочего места необходимым для работы оборудованием, инвентарем, приспособлениями и инструментом.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 для безопасной работы.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внешним осмотром: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рабочей поверхности;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повреждений изоляции шнура питания и вилки – перед включением тепловой пушки в электросеть;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 нагревательных поверхностей;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применяемого инвентаря,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 оператор должен проверить исправность органов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4.2.2. Произвести необходимую сборку оборудования, правильно установить и надежно закрепить съемные детали и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4.2.3. Подвижные и вращающиеся части оборудования должны иметь защитные кожухи и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4.2.4. Проверить наличие аптечки первой помощи и первичных средств пожаротушения,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4.2.5.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включением тепловой пушки произвести внешний осмотр оборудования: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органов управления;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на оборудовании нет видимых повреждений;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отсутствуют посторонние предметы внутри и вокруг оборудования;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и вращающиеся части оборудования, а также нагревательные поверхности имеют защитные кожухи и ограждения;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повреждений изоляции шнура питания и вилки;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надежность закрытия всех токоведущих и пусковых устройств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5.1. Способы и приемы безопасного выполнения работ, использования оборудования, транспортных средств, грузоподъемных механизмов, приспособлений и </w:t>
      </w:r>
      <w:r>
        <w:rPr>
          <w:rFonts w:hAnsi="Times New Roman" w:cs="Times New Roman"/>
          <w:color w:val="000000"/>
          <w:sz w:val="24"/>
          <w:szCs w:val="24"/>
        </w:rPr>
        <w:t>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Запрещается эксплуатация тепловой пушки в помещениях: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относительной влажностью более 90 процентов;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 взрывоопасной средой;</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 химически активной средой, разрушающей металлы и изоляцию.</w:t>
      </w:r>
    </w:p>
    <w:p>
      <w:pPr>
        <w:spacing w:line="240" w:lineRule="auto"/>
        <w:rPr>
          <w:rFonts w:hAnsi="Times New Roman" w:cs="Times New Roman"/>
          <w:color w:val="000000"/>
          <w:sz w:val="24"/>
          <w:szCs w:val="24"/>
        </w:rPr>
      </w:pPr>
      <w:r>
        <w:rPr>
          <w:rFonts w:hAnsi="Times New Roman" w:cs="Times New Roman"/>
          <w:color w:val="000000"/>
          <w:sz w:val="24"/>
          <w:szCs w:val="24"/>
        </w:rPr>
        <w:t>5.1.2. Эксплуатация пушек должна проводиться на открытом воздухе или в помещениях объемом не менее 100 куб. м с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5.1.3. Не ставить пушку на ковровые покрытия полов.</w:t>
      </w:r>
    </w:p>
    <w:p>
      <w:pPr>
        <w:spacing w:line="240" w:lineRule="auto"/>
        <w:rPr>
          <w:rFonts w:hAnsi="Times New Roman" w:cs="Times New Roman"/>
          <w:color w:val="000000"/>
          <w:sz w:val="24"/>
          <w:szCs w:val="24"/>
        </w:rPr>
      </w:pPr>
      <w:r>
        <w:rPr>
          <w:rFonts w:hAnsi="Times New Roman" w:cs="Times New Roman"/>
          <w:color w:val="000000"/>
          <w:sz w:val="24"/>
          <w:szCs w:val="24"/>
        </w:rPr>
        <w:t>5.1.4. Не ставить пушку в непосредственной близости от розетки сетевого электроснабжения.</w:t>
      </w:r>
    </w:p>
    <w:p>
      <w:pPr>
        <w:spacing w:line="240" w:lineRule="auto"/>
        <w:rPr>
          <w:rFonts w:hAnsi="Times New Roman" w:cs="Times New Roman"/>
          <w:color w:val="000000"/>
          <w:sz w:val="24"/>
          <w:szCs w:val="24"/>
        </w:rPr>
      </w:pPr>
      <w:r>
        <w:rPr>
          <w:rFonts w:hAnsi="Times New Roman" w:cs="Times New Roman"/>
          <w:color w:val="000000"/>
          <w:sz w:val="24"/>
          <w:szCs w:val="24"/>
        </w:rPr>
        <w:t>5.1.5. При работе устанавливать пушку на ровную плоскую твердую поверхность, чтобы избежать падения.</w:t>
      </w:r>
    </w:p>
    <w:p>
      <w:pPr>
        <w:spacing w:line="240" w:lineRule="auto"/>
        <w:rPr>
          <w:rFonts w:hAnsi="Times New Roman" w:cs="Times New Roman"/>
          <w:color w:val="000000"/>
          <w:sz w:val="24"/>
          <w:szCs w:val="24"/>
        </w:rPr>
      </w:pPr>
      <w:r>
        <w:rPr>
          <w:rFonts w:hAnsi="Times New Roman" w:cs="Times New Roman"/>
          <w:color w:val="000000"/>
          <w:sz w:val="24"/>
          <w:szCs w:val="24"/>
        </w:rPr>
        <w:t>5.1.6. Не закрывать отверстия для входа и выхода воздуха.</w:t>
      </w:r>
    </w:p>
    <w:p>
      <w:pPr>
        <w:spacing w:line="240" w:lineRule="auto"/>
        <w:rPr>
          <w:rFonts w:hAnsi="Times New Roman" w:cs="Times New Roman"/>
          <w:color w:val="000000"/>
          <w:sz w:val="24"/>
          <w:szCs w:val="24"/>
        </w:rPr>
      </w:pPr>
      <w:r>
        <w:rPr>
          <w:rFonts w:hAnsi="Times New Roman" w:cs="Times New Roman"/>
          <w:color w:val="000000"/>
          <w:sz w:val="24"/>
          <w:szCs w:val="24"/>
        </w:rPr>
        <w:t>5.1.7. Запрещается эксплуатация пушки без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5.1.8. Во избежание ожогов не трогать горячие поверхности пушки руками. Переносить прибор только за ручку.</w:t>
      </w:r>
    </w:p>
    <w:p>
      <w:pPr>
        <w:spacing w:line="240" w:lineRule="auto"/>
        <w:rPr>
          <w:rFonts w:hAnsi="Times New Roman" w:cs="Times New Roman"/>
          <w:color w:val="000000"/>
          <w:sz w:val="24"/>
          <w:szCs w:val="24"/>
        </w:rPr>
      </w:pPr>
      <w:r>
        <w:rPr>
          <w:rFonts w:hAnsi="Times New Roman" w:cs="Times New Roman"/>
          <w:color w:val="000000"/>
          <w:sz w:val="24"/>
          <w:szCs w:val="24"/>
        </w:rPr>
        <w:t>5.1.9. Необходимо отключать тепловую пушку от сети (вынимать вилку из сетевой розетки):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уборке и чистке;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отключении напряжения в электрической сети;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5.1.10. Запрещается передвигать, поднимать или обслуживать неостывший, работающий или включенный в сеть нагреватель.</w:t>
      </w:r>
    </w:p>
    <w:p>
      <w:pPr>
        <w:spacing w:line="240" w:lineRule="auto"/>
        <w:rPr>
          <w:rFonts w:hAnsi="Times New Roman" w:cs="Times New Roman"/>
          <w:color w:val="000000"/>
          <w:sz w:val="24"/>
          <w:szCs w:val="24"/>
        </w:rPr>
      </w:pPr>
      <w:r>
        <w:rPr>
          <w:rFonts w:hAnsi="Times New Roman" w:cs="Times New Roman"/>
          <w:color w:val="000000"/>
          <w:sz w:val="24"/>
          <w:szCs w:val="24"/>
        </w:rPr>
        <w:t>5.1.11. Помещения, где установлены нагреватели, должны быть оборудованы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5.1.12. Запрещается присоединять какие-либо рукава к входному и (или) выходному</w:t>
      </w:r>
      <w:r>
        <w:br/>
      </w:r>
      <w:r>
        <w:rPr>
          <w:rFonts w:hAnsi="Times New Roman" w:cs="Times New Roman"/>
          <w:color w:val="000000"/>
          <w:sz w:val="24"/>
          <w:szCs w:val="24"/>
        </w:rPr>
        <w:t>отверстию нагревателя. Это может ослабить воздушный поток, проходящий через нагреватель, и увеличить содержание угарного газа в выходящем воздухе.</w:t>
      </w:r>
    </w:p>
    <w:p>
      <w:pPr>
        <w:spacing w:line="240" w:lineRule="auto"/>
        <w:rPr>
          <w:rFonts w:hAnsi="Times New Roman" w:cs="Times New Roman"/>
          <w:color w:val="000000"/>
          <w:sz w:val="24"/>
          <w:szCs w:val="24"/>
        </w:rPr>
      </w:pPr>
      <w:r>
        <w:rPr>
          <w:rFonts w:hAnsi="Times New Roman" w:cs="Times New Roman"/>
          <w:color w:val="000000"/>
          <w:sz w:val="24"/>
          <w:szCs w:val="24"/>
        </w:rPr>
        <w:t>5.1.13.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Газовые баллоны необходимо устанавливать в специально отведенном месте; запрещено направлять теплый воздух на баллоны.</w:t>
      </w:r>
    </w:p>
    <w:p>
      <w:pPr>
        <w:spacing w:line="240" w:lineRule="auto"/>
        <w:rPr>
          <w:rFonts w:hAnsi="Times New Roman" w:cs="Times New Roman"/>
          <w:color w:val="000000"/>
          <w:sz w:val="24"/>
          <w:szCs w:val="24"/>
        </w:rPr>
      </w:pPr>
      <w:r>
        <w:rPr>
          <w:rFonts w:hAnsi="Times New Roman" w:cs="Times New Roman"/>
          <w:color w:val="000000"/>
          <w:sz w:val="24"/>
          <w:szCs w:val="24"/>
        </w:rPr>
        <w:t>5.2.2. Газовые шланги запрещено скручивать; допускается использование газовых труб или оригинальных запчастей.</w:t>
      </w:r>
    </w:p>
    <w:p>
      <w:pPr>
        <w:spacing w:line="240" w:lineRule="auto"/>
        <w:rPr>
          <w:rFonts w:hAnsi="Times New Roman" w:cs="Times New Roman"/>
          <w:color w:val="000000"/>
          <w:sz w:val="24"/>
          <w:szCs w:val="24"/>
        </w:rPr>
      </w:pPr>
      <w:r>
        <w:rPr>
          <w:rFonts w:hAnsi="Times New Roman" w:cs="Times New Roman"/>
          <w:color w:val="000000"/>
          <w:sz w:val="24"/>
          <w:szCs w:val="24"/>
        </w:rPr>
        <w:t>5.2.3. Запрещено использовать пушку с включенным генератором на расстоянии меньше 3 м от источника тепла для предотвращения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5.2.4. Запрещено использовать генератор ниже уровня грунта, в подвальных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5.2.5. Использование генератора производить с применением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5.2.6. Необходимо следить, чтобы шнур питания не был пережат предметами, не проходил под ковром, не прокладывать шнур питания в проходах.</w:t>
      </w:r>
    </w:p>
    <w:p>
      <w:pPr>
        <w:spacing w:line="240" w:lineRule="auto"/>
        <w:rPr>
          <w:rFonts w:hAnsi="Times New Roman" w:cs="Times New Roman"/>
          <w:color w:val="000000"/>
          <w:sz w:val="24"/>
          <w:szCs w:val="24"/>
        </w:rPr>
      </w:pPr>
      <w:r>
        <w:rPr>
          <w:rFonts w:hAnsi="Times New Roman" w:cs="Times New Roman"/>
          <w:color w:val="000000"/>
          <w:sz w:val="24"/>
          <w:szCs w:val="24"/>
        </w:rPr>
        <w:t>5.2.7. Необходимо устанавливать пушку на расстоянии не менее 1 м от легковоспламеняющихся предметов (синтетические материалы, мебель и т. п.).</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тепловой пушки могут возникнуть следующие аварийные ситуации: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неправильное подключение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нарушение условий эксплуатации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износ деталей</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загорания следует отключить электроэнергию, вызвать пожарную охрану, сообщить о случившемся руководству предприятия, принять меры по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подозрения на утечку газа необходимо отключить устройство и применить меры безопасности: проветрить помещение, отключить электрические приборы, обесточить электросеть.</w:t>
      </w:r>
    </w:p>
    <w:p>
      <w:pPr>
        <w:spacing w:line="240" w:lineRule="auto"/>
        <w:rPr>
          <w:rFonts w:hAnsi="Times New Roman" w:cs="Times New Roman"/>
          <w:color w:val="000000"/>
          <w:sz w:val="24"/>
          <w:szCs w:val="24"/>
        </w:rPr>
      </w:pPr>
      <w:r>
        <w:rPr>
          <w:rFonts w:hAnsi="Times New Roman" w:cs="Times New Roman"/>
          <w:color w:val="000000"/>
          <w:sz w:val="24"/>
          <w:szCs w:val="24"/>
        </w:rPr>
        <w:t>6.3.5. Запрещается применять воду и пенные огнетушители для тушения электропроводок и оборудования под напряжением, так как пена является хорошим проводником электрического тока. Для этих целей используются углекислотные и 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6.3.6. 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смоченной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 а при охвате огнем большей части одежды плотно закатать работника в ткань (кошму), но не накрывать с головой.</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и надежно обесточить оборудование при помощи рубильника или</w:t>
      </w:r>
      <w:r>
        <w:br/>
      </w:r>
      <w:r>
        <w:rPr>
          <w:rFonts w:hAnsi="Times New Roman" w:cs="Times New Roman"/>
          <w:color w:val="000000"/>
          <w:sz w:val="24"/>
          <w:szCs w:val="24"/>
        </w:rPr>
        <w:t>устройства, его заменяющего и предотвращающего случайный пуск.</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Привести в порядок рабочее место, инструмент и приспособления убрать в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7.3.2. Поверхность оборудования протереть мягкой салфеткой и убрать его в установленное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7ce74efc78b47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