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инженера по гражданской обороне и чрезвычайным ситуациям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 по гражданской обороне и чрезвычайным ситуациям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гражданской обороне и чрезвычайным ситуациям;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гражданской обороне и чрезвычайным ситуациям;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для инженера по гражданской обороне и чрезвычайным ситуациям;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для инженерами по гражданской обороне и чрезвычайным ситуациям;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инженера по гражданской обороне и чрезвычайным ситуациям.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для инженеров по гражданской обороне и чрезвычайным ситуациям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  по ГО и ЧС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ГО и ЧС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 ГО и ЧС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 ГО и ЧС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инженера ГО и ЧС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(при работе с ПК);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нервные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 – при следовании в командировки.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Инженер ГО и ЧС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 ГО и ЧС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 ГО и ЧС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Прибыть на работу заблаговременно для исключения спешки и, как следствие, падения и случаев травматизма, при этом: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ограждения и случайные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безопасности, сигналы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Очистить экран дисплея персонального компьютера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Отрегулировать кресло по высоте. Проверить исправность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трещин и сколов на корпусах розеток и выключателей, а также отсутствие оголенных контактов;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устройств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изоляции электропроводов и питающих шнуров электроприборов, исправность предохранительных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4.1.1.9. При выполнении трудовых обязанностей на объектах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4.1.1.10. Обо всех замеченных недостатках и неисправностях немедленно сообщить работнику,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 Проверить наличие у подчиненных спецодежды, спецобуви, СИЗ, их внешнее состояние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4.1.2.3. Осмотреть их рабочие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4.1.2.4. Проверить наличие и исправность оборудования, приборов, аппаратуры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4.1.2.5. Проверить наличие противопожарных средств,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4.1.2.6. Убедиться в надежной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4.1.2.7.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4.1.2.8. Провести целевой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Приступить к работе после устранения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Инженеру ГО и ЧС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завода-изготовителя по эксплуатации ПК, иного оборудования, при которой не допускается его применение;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ГО и ЧС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ГО и ЧС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ГО и ЧС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ГО и ЧС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отдела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ПК, электрооборудованием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ПК: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экран находился ниже уровня глаз на 5 градусов и располагался в прямой плоскости или с наклоном на работника (15 градусов);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выдерживать расстояние от глаз до экрана в пределах 60–80 см;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визуальные параметры (яркость изображения и контрастность) от минимальных до максимальных значений с помощью специальных ручек на корпусе монитора;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местный источник света по отношению к рабочему месту располагать таким образом, чтобы исключить попадание в глаза прямого света, и обеспечивать равномерную освещенность на поверхности 40 × 40 см, не создавая слепящих бликов на клавиатуре и экране монитора;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рабочей смены экран монитора очищать от пыли не менее одного раза;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снижения зрительного и общего утомления после каждого часа работы за экраном использовать регламентированные перерывы на отдых продолжительностью не менее пяти минут;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обязательные предварительные при поступлении на работу и периодические медицинские осмотры при работе с персональным компьютером (ПЭВМ) более 50 процентов рабочего времени;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беременных женщин с момента установления беременности переводить на работы, не связанные с использованием персональных компьютеров (ПЭВМ), или ограничивать время их работы за компьютером до трех часов за рабочую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электроприборами и оргтехникой (принтеры, сканеры, копировальные аппараты, факсы, бытовые электроприборы, приборы освещения):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включением проверять исправность выключателей, электрических предохранителей, целостность электропроводки, электрических шнуров, штепсельных вилок, розеток, ламповых патронов и пр.;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подогрева воды пользоваться только сертифицированными электроприборами с закрытой спиралью и устройством автоматического отключения с применением несгораемых подставок;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 и уходе с рабочего места выключать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 пути к месту командировки и обратно: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экстремальных условий на пути следования;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дорожного движения и правила поведения в транспортных средствах;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обходе транспортных средств и других препятствий, ограничивающих видимость проезжей части;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неблагоприятных погодных условий (гололед, снегопад, туман) соблюдать особую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Соблюдать правила перемещения в помещениях и на территории предприятия,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Осуществлять контроль за соблюдением подчиненными правил и норм охраны труда, пожарной безопасности, промсанитарии,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Заметив нарушение требований охраны труда другим работником, инженеру ГО и ЧС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Строго выполнять в установленные сроки приказы и распоряжения руководства,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ГО и ЧС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ГО и ЧС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 ГО и ЧС,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ГО и ЧС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работников, инженеру ГО и ЧС следует прекратить работу и сообщить о них своему непосредственному руководителю и (или) работнику,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инженеру ГО и ЧС следует в установленном порядке вызвать пожарную команду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инженер ГО и ЧС должен прекратить работу,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находящегося в подчинении работника отстранить его от работы и направить в медпункт, а в случае необходимости вызвать городскую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a5e734532c48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