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кладовщика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кладовщика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кладовщика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кладовщиками;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всех кладовщиков</w:t>
      </w:r>
      <w:r>
        <w:rPr>
          <w:rFonts w:hAnsi="Times New Roman" w:cs="Times New Roman"/>
          <w:color w:val="000000"/>
          <w:sz w:val="24"/>
          <w:szCs w:val="24"/>
        </w:rPr>
        <w:t>_____________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Трудовой кодекс Российской Федерации</w:t>
      </w:r>
      <w:r>
        <w:rPr>
          <w:rFonts w:hAnsi="Times New Roman" w:cs="Times New Roman"/>
          <w:color w:val="000000"/>
          <w:sz w:val="24"/>
          <w:szCs w:val="24"/>
        </w:rPr>
        <w:t xml:space="preserve"> от </w:t>
      </w:r>
      <w:r>
        <w:rPr>
          <w:rFonts w:hAnsi="Times New Roman" w:cs="Times New Roman"/>
          <w:color w:val="000000"/>
          <w:sz w:val="24"/>
          <w:szCs w:val="24"/>
        </w:rPr>
        <w:t>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ГОСТ, </w:t>
      </w:r>
      <w:r>
        <w:rPr>
          <w:rFonts w:hAnsi="Times New Roman" w:cs="Times New Roman"/>
          <w:b/>
          <w:bCs/>
          <w:color w:val="000000"/>
          <w:sz w:val="24"/>
          <w:szCs w:val="24"/>
        </w:rPr>
        <w:t>Приказ Росстандарта от 12.01.2017 №№ 6-ст</w:t>
      </w:r>
      <w:r>
        <w:rPr>
          <w:rFonts w:hAnsi="Times New Roman" w:cs="Times New Roman"/>
          <w:b/>
          <w:bCs/>
          <w:color w:val="000000"/>
          <w:sz w:val="24"/>
          <w:szCs w:val="24"/>
        </w:rPr>
        <w:t xml:space="preserve">, </w:t>
      </w:r>
      <w:r>
        <w:rPr>
          <w:rFonts w:hAnsi="Times New Roman" w:cs="Times New Roman"/>
          <w:b/>
          <w:bCs/>
          <w:color w:val="000000"/>
          <w:sz w:val="24"/>
          <w:szCs w:val="24"/>
        </w:rPr>
        <w:t>ГОСТ Р 55525-2017</w:t>
      </w:r>
      <w:r>
        <w:rPr>
          <w:rFonts w:hAnsi="Times New Roman" w:cs="Times New Roman"/>
          <w:b/>
          <w:bCs/>
          <w:color w:val="000000"/>
          <w:sz w:val="24"/>
          <w:szCs w:val="24"/>
        </w:rPr>
        <w:t xml:space="preserve">, </w:t>
      </w:r>
      <w:r>
        <w:rPr>
          <w:rFonts w:hAnsi="Times New Roman" w:cs="Times New Roman"/>
          <w:color w:val="000000"/>
          <w:sz w:val="24"/>
          <w:szCs w:val="24"/>
        </w:rPr>
        <w:t xml:space="preserve"> Национальный стандарт Российской Федерации. Складское оборудование. Стеллажи сборно-разборные. Общие технические условия;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кладовщиком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для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3.3.1. Кладовщик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Кладовщик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кладовщика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травмирование падающим грузом при неаккуратном его складировании;</w:t>
      </w:r>
    </w:p>
    <w:p>
      <w:pPr>
        <w:spacing w:line="240" w:lineRule="auto"/>
        <w:rPr>
          <w:rFonts w:hAnsi="Times New Roman" w:cs="Times New Roman"/>
          <w:color w:val="000000"/>
          <w:sz w:val="24"/>
          <w:szCs w:val="24"/>
        </w:rPr>
      </w:pPr>
      <w:r>
        <w:rPr>
          <w:rFonts w:hAnsi="Times New Roman" w:cs="Times New Roman"/>
          <w:color w:val="000000"/>
          <w:sz w:val="24"/>
          <w:szCs w:val="24"/>
        </w:rPr>
        <w:t>– травмирование рук при переноске тары и грузов без рукавиц, а также при вскрытии тары;</w:t>
      </w:r>
    </w:p>
    <w:p>
      <w:pPr>
        <w:spacing w:line="240" w:lineRule="auto"/>
        <w:rPr>
          <w:rFonts w:hAnsi="Times New Roman" w:cs="Times New Roman"/>
          <w:color w:val="000000"/>
          <w:sz w:val="24"/>
          <w:szCs w:val="24"/>
        </w:rPr>
      </w:pPr>
      <w:r>
        <w:rPr>
          <w:rFonts w:hAnsi="Times New Roman" w:cs="Times New Roman"/>
          <w:color w:val="000000"/>
          <w:sz w:val="24"/>
          <w:szCs w:val="24"/>
        </w:rPr>
        <w:t>– переноска тяжестей сверх предельно допустимой нормы;</w:t>
      </w:r>
    </w:p>
    <w:p>
      <w:pPr>
        <w:spacing w:line="240" w:lineRule="auto"/>
        <w:rPr>
          <w:rFonts w:hAnsi="Times New Roman" w:cs="Times New Roman"/>
          <w:color w:val="000000"/>
          <w:sz w:val="24"/>
          <w:szCs w:val="24"/>
        </w:rPr>
      </w:pPr>
      <w:r>
        <w:rPr>
          <w:rFonts w:hAnsi="Times New Roman" w:cs="Times New Roman"/>
          <w:color w:val="000000"/>
          <w:sz w:val="24"/>
          <w:szCs w:val="24"/>
        </w:rPr>
        <w:t>– возникновение пожара при пользовании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складского участка</w:t>
      </w:r>
      <w:r>
        <w:rPr>
          <w:rFonts w:hAnsi="Times New Roman" w:cs="Times New Roman"/>
          <w:color w:val="000000"/>
          <w:sz w:val="24"/>
          <w:szCs w:val="24"/>
        </w:rPr>
        <w:t>,  представляющих угрозу жизни и здоровью работников, на кладовщика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Кладовщик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Кладовщик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кладовщик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Кладовщик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4.1.2.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4.1.3.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4.1.4.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4.1.5.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4.1.6.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4.1.7.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наличие, исправность, сроки технического освидетельствования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Эксплуатировать электро- и автопогрузчики, кары, краны и прочее могут только специально обученные работники, сдавшие экзамен и получившие удостоверение на право управления ими.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работу вытяжной вентиляции, а также наличие и исправность (целостность) инструмента, оснастки, необходимых приспособлений, тары (поддонов, контейнеров и пр.).</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дату последнего испытания стеллажей.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pPr>
        <w:spacing w:line="240" w:lineRule="auto"/>
        <w:rPr>
          <w:rFonts w:hAnsi="Times New Roman" w:cs="Times New Roman"/>
          <w:color w:val="000000"/>
          <w:sz w:val="24"/>
          <w:szCs w:val="24"/>
        </w:rPr>
      </w:pPr>
      <w:r>
        <w:rPr>
          <w:rFonts w:hAnsi="Times New Roman" w:cs="Times New Roman"/>
          <w:color w:val="000000"/>
          <w:sz w:val="24"/>
          <w:szCs w:val="24"/>
        </w:rPr>
        <w:t>4.4.5. Произвести внешний осмотр и убедиться в отсутствии видимых повреждений (трещин, вмятин, сколов) их основных элементов: рам, балок, опор, стоек, панелей, предохранительных фиксаторов и пр.</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вертикальность стоек рам;</w:t>
      </w:r>
    </w:p>
    <w:p>
      <w:pPr>
        <w:spacing w:line="240" w:lineRule="auto"/>
        <w:rPr>
          <w:rFonts w:hAnsi="Times New Roman" w:cs="Times New Roman"/>
          <w:color w:val="000000"/>
          <w:sz w:val="24"/>
          <w:szCs w:val="24"/>
        </w:rPr>
      </w:pPr>
      <w:r>
        <w:rPr>
          <w:rFonts w:hAnsi="Times New Roman" w:cs="Times New Roman"/>
          <w:color w:val="000000"/>
          <w:sz w:val="24"/>
          <w:szCs w:val="24"/>
        </w:rPr>
        <w:t>– горизонтальность рядов (ярусов);</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трещин в сварных швах или в металле деталей;</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затяжки крепежа всех резьбовых соединений;</w:t>
      </w:r>
    </w:p>
    <w:p>
      <w:pPr>
        <w:spacing w:line="240" w:lineRule="auto"/>
        <w:rPr>
          <w:rFonts w:hAnsi="Times New Roman" w:cs="Times New Roman"/>
          <w:color w:val="000000"/>
          <w:sz w:val="24"/>
          <w:szCs w:val="24"/>
        </w:rPr>
      </w:pPr>
      <w:r>
        <w:rPr>
          <w:rFonts w:hAnsi="Times New Roman" w:cs="Times New Roman"/>
          <w:color w:val="000000"/>
          <w:sz w:val="24"/>
          <w:szCs w:val="24"/>
        </w:rPr>
        <w:t>– места крепления стеллажей к конструкциям здания, полу;</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полов (горизонтальность, отсутствие выбоин);</w:t>
      </w:r>
    </w:p>
    <w:p>
      <w:pPr>
        <w:spacing w:line="240" w:lineRule="auto"/>
        <w:rPr>
          <w:rFonts w:hAnsi="Times New Roman" w:cs="Times New Roman"/>
          <w:color w:val="000000"/>
          <w:sz w:val="24"/>
          <w:szCs w:val="24"/>
        </w:rPr>
      </w:pPr>
      <w:r>
        <w:rPr>
          <w:rFonts w:hAnsi="Times New Roman" w:cs="Times New Roman"/>
          <w:color w:val="000000"/>
          <w:sz w:val="24"/>
          <w:szCs w:val="24"/>
        </w:rPr>
        <w:t>– соответствие расстояния между стеллажами габаритам применяемого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4.4.7. Подготовить рабочее место для безопасной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его осмотр, убрать все лишние предметы, не загромождая при этом проходы;</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подходы (подъезды)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сигнальных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противопожарных средств, аптечки;</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4.4.8. Проверить внешним осмотром: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свисающих оголенных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надежность заземляющих соединений (отсутствие обрывов, прочность контакта между металлическими нетоковедущими частями стеллажей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вокруг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4.4.9.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работник прошел обучение, инструктаж по охране труда и к которой допущен лицом,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Применять необходимые для безопасной работы исправное оборудование, инструмент, приспособления, подъемно-транспортное оборудование;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работой оборудования, состоянием стеллажей, периодически проводить их визуальный осмотр с целью выявления повреждений, деформаций, поломок, нарушений технологического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Поврежденные элементы оборудования, стеллажей должны быть правильно отремонтированы или заменены.</w:t>
      </w:r>
    </w:p>
    <w:p>
      <w:pPr>
        <w:spacing w:line="240" w:lineRule="auto"/>
        <w:rPr>
          <w:rFonts w:hAnsi="Times New Roman" w:cs="Times New Roman"/>
          <w:color w:val="000000"/>
          <w:sz w:val="24"/>
          <w:szCs w:val="24"/>
        </w:rPr>
      </w:pPr>
      <w:r>
        <w:rPr>
          <w:rFonts w:hAnsi="Times New Roman" w:cs="Times New Roman"/>
          <w:color w:val="000000"/>
          <w:sz w:val="24"/>
          <w:szCs w:val="24"/>
        </w:rPr>
        <w:t>5.1.5. При обнаружении неисправного оборудования, приспособлений, оснастки, тары, деформированных элементов стеллажей,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5.1.6. Стеллажи должны быть прочными, исключающими падение груза, иметь бортики. Расстояние между стеллажами должно быть не менее 0,7 м.</w:t>
      </w:r>
    </w:p>
    <w:p>
      <w:pPr>
        <w:spacing w:line="240" w:lineRule="auto"/>
        <w:rPr>
          <w:rFonts w:hAnsi="Times New Roman" w:cs="Times New Roman"/>
          <w:color w:val="000000"/>
          <w:sz w:val="24"/>
          <w:szCs w:val="24"/>
        </w:rPr>
      </w:pPr>
      <w:r>
        <w:rPr>
          <w:rFonts w:hAnsi="Times New Roman" w:cs="Times New Roman"/>
          <w:color w:val="000000"/>
          <w:sz w:val="24"/>
          <w:szCs w:val="24"/>
        </w:rPr>
        <w:t>5.1.7. Переносить грузы в таре и пустую тару только в рукавицах.</w:t>
      </w:r>
    </w:p>
    <w:p>
      <w:pPr>
        <w:spacing w:line="240" w:lineRule="auto"/>
        <w:rPr>
          <w:rFonts w:hAnsi="Times New Roman" w:cs="Times New Roman"/>
          <w:color w:val="000000"/>
          <w:sz w:val="24"/>
          <w:szCs w:val="24"/>
        </w:rPr>
      </w:pPr>
      <w:r>
        <w:rPr>
          <w:rFonts w:hAnsi="Times New Roman" w:cs="Times New Roman"/>
          <w:color w:val="000000"/>
          <w:sz w:val="24"/>
          <w:szCs w:val="24"/>
        </w:rPr>
        <w:t>5.1.8. Укладывать грузы аккуратно, надежно, чтобы не было их падения. Более тяжелые грузы размещать на нижних полках стеллажей.</w:t>
      </w:r>
    </w:p>
    <w:p>
      <w:pPr>
        <w:spacing w:line="240" w:lineRule="auto"/>
        <w:rPr>
          <w:rFonts w:hAnsi="Times New Roman" w:cs="Times New Roman"/>
          <w:color w:val="000000"/>
          <w:sz w:val="24"/>
          <w:szCs w:val="24"/>
        </w:rPr>
      </w:pPr>
      <w:r>
        <w:rPr>
          <w:rFonts w:hAnsi="Times New Roman" w:cs="Times New Roman"/>
          <w:color w:val="000000"/>
          <w:sz w:val="24"/>
          <w:szCs w:val="24"/>
        </w:rPr>
        <w:t>5.1.9. Не загромождать тарой, товарами и другими предметами проходы.</w:t>
      </w:r>
    </w:p>
    <w:p>
      <w:pPr>
        <w:spacing w:line="240" w:lineRule="auto"/>
        <w:rPr>
          <w:rFonts w:hAnsi="Times New Roman" w:cs="Times New Roman"/>
          <w:color w:val="000000"/>
          <w:sz w:val="24"/>
          <w:szCs w:val="24"/>
        </w:rPr>
      </w:pPr>
      <w:r>
        <w:rPr>
          <w:rFonts w:hAnsi="Times New Roman" w:cs="Times New Roman"/>
          <w:color w:val="000000"/>
          <w:sz w:val="24"/>
          <w:szCs w:val="24"/>
        </w:rPr>
        <w:t>5.1.10. Не разбрасывать около склада (кладовой) неисправную тару, посуду с острыми краями, битую стеклянную тару.</w:t>
      </w:r>
    </w:p>
    <w:p>
      <w:pPr>
        <w:spacing w:line="240" w:lineRule="auto"/>
        <w:rPr>
          <w:rFonts w:hAnsi="Times New Roman" w:cs="Times New Roman"/>
          <w:color w:val="000000"/>
          <w:sz w:val="24"/>
          <w:szCs w:val="24"/>
        </w:rPr>
      </w:pPr>
      <w:r>
        <w:rPr>
          <w:rFonts w:hAnsi="Times New Roman" w:cs="Times New Roman"/>
          <w:color w:val="000000"/>
          <w:sz w:val="24"/>
          <w:szCs w:val="24"/>
        </w:rPr>
        <w:t>5.1.11. Не хранить на складе (в кладовой) битую посуду.</w:t>
      </w:r>
    </w:p>
    <w:p>
      <w:pPr>
        <w:spacing w:line="240" w:lineRule="auto"/>
        <w:rPr>
          <w:rFonts w:hAnsi="Times New Roman" w:cs="Times New Roman"/>
          <w:color w:val="000000"/>
          <w:sz w:val="24"/>
          <w:szCs w:val="24"/>
        </w:rPr>
      </w:pPr>
      <w:r>
        <w:rPr>
          <w:rFonts w:hAnsi="Times New Roman" w:cs="Times New Roman"/>
          <w:color w:val="000000"/>
          <w:sz w:val="24"/>
          <w:szCs w:val="24"/>
        </w:rPr>
        <w:t>5.1.12. Помещения складов (кладовых) держать в чистоте, выбоины в полу и щели должны своевременно заделываться.</w:t>
      </w:r>
    </w:p>
    <w:p>
      <w:pPr>
        <w:spacing w:line="240" w:lineRule="auto"/>
        <w:rPr>
          <w:rFonts w:hAnsi="Times New Roman" w:cs="Times New Roman"/>
          <w:color w:val="000000"/>
          <w:sz w:val="24"/>
          <w:szCs w:val="24"/>
        </w:rPr>
      </w:pPr>
      <w:r>
        <w:rPr>
          <w:rFonts w:hAnsi="Times New Roman" w:cs="Times New Roman"/>
          <w:color w:val="000000"/>
          <w:sz w:val="24"/>
          <w:szCs w:val="24"/>
        </w:rPr>
        <w:t>5.1.13. Не оставлять в порожней таре острых предметов, торчащих гвоздей и отходов.</w:t>
      </w:r>
    </w:p>
    <w:p>
      <w:pPr>
        <w:spacing w:line="240" w:lineRule="auto"/>
        <w:rPr>
          <w:rFonts w:hAnsi="Times New Roman" w:cs="Times New Roman"/>
          <w:color w:val="000000"/>
          <w:sz w:val="24"/>
          <w:szCs w:val="24"/>
        </w:rPr>
      </w:pPr>
      <w:r>
        <w:rPr>
          <w:rFonts w:hAnsi="Times New Roman" w:cs="Times New Roman"/>
          <w:color w:val="000000"/>
          <w:sz w:val="24"/>
          <w:szCs w:val="24"/>
        </w:rPr>
        <w:t>5.1.14. Перед вскрытием деревянной тары осмотреть ее и удалить торчащие гвозди соответствующим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5.1.15. Банки вскрывать только консервным ножом.</w:t>
      </w:r>
    </w:p>
    <w:p>
      <w:pPr>
        <w:spacing w:line="240" w:lineRule="auto"/>
        <w:rPr>
          <w:rFonts w:hAnsi="Times New Roman" w:cs="Times New Roman"/>
          <w:color w:val="000000"/>
          <w:sz w:val="24"/>
          <w:szCs w:val="24"/>
        </w:rPr>
      </w:pPr>
      <w:r>
        <w:rPr>
          <w:rFonts w:hAnsi="Times New Roman" w:cs="Times New Roman"/>
          <w:color w:val="000000"/>
          <w:sz w:val="24"/>
          <w:szCs w:val="24"/>
        </w:rPr>
        <w:t>5.1.16. Во избежание пожара не пользоваться открытым огнем, а также не размещать тару ближе 0,5 м от светильников.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работы кладовщиком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стеллажа, выявлении повреждений, деформаций, угрожающих аварией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разгрузить поврежденный участок;</w:t>
      </w:r>
    </w:p>
    <w:p>
      <w:pPr>
        <w:spacing w:line="240" w:lineRule="auto"/>
        <w:rPr>
          <w:rFonts w:hAnsi="Times New Roman" w:cs="Times New Roman"/>
          <w:color w:val="000000"/>
          <w:sz w:val="24"/>
          <w:szCs w:val="24"/>
        </w:rPr>
      </w:pPr>
      <w:r>
        <w:rPr>
          <w:rFonts w:hAnsi="Times New Roman" w:cs="Times New Roman"/>
          <w:color w:val="000000"/>
          <w:sz w:val="24"/>
          <w:szCs w:val="24"/>
        </w:rPr>
        <w:t>– принять меры к его ограждению;</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о принятых мерах лицу, ответственному за эксплуатацию стеллажей;</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работу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оповестить об опасности окружающих людей;</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непосредственному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появлении очага возгорания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работу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организовать эвакуацию людей;</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приступить к тушению пожара первичными средствами пожаротушения, если это не угрожает собственной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6.3.4.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7.2.2. Установить подъемно-транспортное оборудование на стоянку, выключить вентиляцию.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f721eec648a49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