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394C" w14:textId="7F7D6C1C" w:rsidR="00DA5EFF" w:rsidRP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bookmarkStart w:id="0" w:name="_Hlk153875917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Приложение N 8</w:t>
      </w:r>
    </w:p>
    <w:p w14:paraId="523CC39E" w14:textId="77777777" w:rsidR="00DA5EFF" w:rsidRP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к Инструкции по локализации</w:t>
      </w:r>
    </w:p>
    <w:p w14:paraId="00296848" w14:textId="77777777" w:rsidR="00DA5EFF" w:rsidRP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и ликвидации последствий аварий</w:t>
      </w:r>
    </w:p>
    <w:p w14:paraId="4F924A80" w14:textId="77777777" w:rsidR="00DA5EFF" w:rsidRP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на опасных производственных объектах,</w:t>
      </w:r>
    </w:p>
    <w:p w14:paraId="1FAB15BF" w14:textId="3A41011F" w:rsidR="00DA5EFF" w:rsidRP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на которых ведутся горные работы</w:t>
      </w:r>
    </w:p>
    <w:p w14:paraId="443B67C7" w14:textId="77777777" w:rsidR="00DA5EFF" w:rsidRDefault="00DA5EFF" w:rsidP="00DA5EFF">
      <w:pPr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4257CEE9" w14:textId="09A97007" w:rsidR="00DA5EFF" w:rsidRPr="00DA5EFF" w:rsidRDefault="00DA5EFF" w:rsidP="00DA5EFF">
      <w:pPr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Локализация и тушение пожаров на опасных производственных объектах ведения подземных горных работ</w:t>
      </w:r>
    </w:p>
    <w:p w14:paraId="3DA99AEF" w14:textId="77777777" w:rsidR="00DA5EFF" w:rsidRPr="00DA5EFF" w:rsidRDefault="00DA5EFF" w:rsidP="00DA5EFF">
      <w:pPr>
        <w:shd w:val="clear" w:color="auto" w:fill="FFFFFF"/>
        <w:spacing w:line="312" w:lineRule="auto"/>
        <w:jc w:val="both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0A385E26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1. Тушение подземных пожаров осуществляется следующими способами:</w:t>
      </w:r>
    </w:p>
    <w:p w14:paraId="73D05F47" w14:textId="77777777" w:rsidR="00DA5EFF" w:rsidRPr="00DA5EFF" w:rsidRDefault="00DA5EFF" w:rsidP="00DA5EFF">
      <w:pPr>
        <w:pStyle w:val="a8"/>
        <w:numPr>
          <w:ilvl w:val="0"/>
          <w:numId w:val="73"/>
        </w:numPr>
        <w:shd w:val="clear" w:color="auto" w:fill="FFFFFF"/>
        <w:spacing w:line="312" w:lineRule="auto"/>
        <w:ind w:left="1418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активное тушение;</w:t>
      </w:r>
    </w:p>
    <w:p w14:paraId="1B56EF59" w14:textId="77777777" w:rsidR="00DA5EFF" w:rsidRPr="00DA5EFF" w:rsidRDefault="00DA5EFF" w:rsidP="00DA5EFF">
      <w:pPr>
        <w:pStyle w:val="a8"/>
        <w:numPr>
          <w:ilvl w:val="0"/>
          <w:numId w:val="73"/>
        </w:numPr>
        <w:shd w:val="clear" w:color="auto" w:fill="FFFFFF"/>
        <w:spacing w:line="312" w:lineRule="auto"/>
        <w:ind w:left="1418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изоляция горных выработок, в которых действует пожар (далее - изоляция пожара);</w:t>
      </w:r>
    </w:p>
    <w:p w14:paraId="4A384584" w14:textId="77777777" w:rsidR="00DA5EFF" w:rsidRPr="00DA5EFF" w:rsidRDefault="00DA5EFF" w:rsidP="00DA5EFF">
      <w:pPr>
        <w:pStyle w:val="a8"/>
        <w:numPr>
          <w:ilvl w:val="0"/>
          <w:numId w:val="73"/>
        </w:numPr>
        <w:shd w:val="clear" w:color="auto" w:fill="FFFFFF"/>
        <w:spacing w:line="312" w:lineRule="auto"/>
        <w:ind w:left="1418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комбинированный способ.</w:t>
      </w:r>
    </w:p>
    <w:p w14:paraId="17C6418B" w14:textId="77777777" w:rsidR="00DA5EFF" w:rsidRPr="00DA5EFF" w:rsidRDefault="00DA5EFF" w:rsidP="00DA5EFF">
      <w:pPr>
        <w:pStyle w:val="a8"/>
        <w:numPr>
          <w:ilvl w:val="0"/>
          <w:numId w:val="73"/>
        </w:numPr>
        <w:shd w:val="clear" w:color="auto" w:fill="FFFFFF"/>
        <w:spacing w:line="312" w:lineRule="auto"/>
        <w:ind w:left="1418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Комбинированный способ тушения пожара предусматривает изоляцию горных выработок и дальнейшее активное тушение пожара.</w:t>
      </w:r>
    </w:p>
    <w:p w14:paraId="243AC3EA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Тушение подземного пожара активным способом</w:t>
      </w:r>
    </w:p>
    <w:p w14:paraId="02177B36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2. Тушение подземного пожара активным способом применяется в случаях, когда имеется возможность подачи огнетушащих веществ непосредственно на очаг пожара.</w:t>
      </w:r>
    </w:p>
    <w:p w14:paraId="493AC2A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Тушение подземного пожара активным способом осуществляется:</w:t>
      </w:r>
    </w:p>
    <w:p w14:paraId="3C752EB8" w14:textId="77777777" w:rsidR="00DA5EFF" w:rsidRPr="00DA5EFF" w:rsidRDefault="00DA5EFF" w:rsidP="00DA5EFF">
      <w:pPr>
        <w:pStyle w:val="a8"/>
        <w:numPr>
          <w:ilvl w:val="0"/>
          <w:numId w:val="74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с присутствием людей в зоне действия пожара;</w:t>
      </w:r>
    </w:p>
    <w:p w14:paraId="42548D99" w14:textId="77777777" w:rsidR="00DA5EFF" w:rsidRPr="00DA5EFF" w:rsidRDefault="00DA5EFF" w:rsidP="00DA5EFF">
      <w:pPr>
        <w:pStyle w:val="a8"/>
        <w:numPr>
          <w:ilvl w:val="0"/>
          <w:numId w:val="74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без присутствия людей в зоне действия пожара (дистанционно).</w:t>
      </w:r>
    </w:p>
    <w:p w14:paraId="40C8ED8A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839613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3. Люди при активном способе тушения подземного пожара должны находиться со стороны, поступающей к пожару вентиляционной струи.</w:t>
      </w:r>
    </w:p>
    <w:p w14:paraId="40C7F9D4" w14:textId="04395EAE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Нахождение людей, занятых тушением пожара активным способом, в горных выработках с исходящей от пожара струей воздуха, допускается только в случаях, когда пожар находится вблизи выработок со свежей струей воздуха. Работы по его тушению следует проводить в соответствии с главой "Горноспасательные работы в подземных горных выработках в зоне высоких температур с непригодной для дыхания рудничной атмосферой" приложения N 6.</w:t>
      </w:r>
    </w:p>
    <w:p w14:paraId="5A0D7937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4. При тушении подземного пожара должны выполняться меры, предотвращающие обрушение (высыпание) горных пород и высыпание горящих масс. Обрушившаяся и выпущенная горная порода, и горящая масса проливаются водой.</w:t>
      </w:r>
    </w:p>
    <w:p w14:paraId="5E33CAA9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5. Тушение электрических кабелей и электрооборудования осуществляется после отключения электроэнергии. Электрические кабели и электрооборудование, находящиеся под напряжением, тушатся огнетушащими порошками, песком или инертными газами.</w:t>
      </w:r>
    </w:p>
    <w:p w14:paraId="607474B2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6. В горных выработках, по которым распространяются продукты горения, предусматриваются меры по предотвращению возгораний: удаление горючего материала из зоны горения или на пути распространения пожара, установка водяных завес и (или) уменьшение расхода воздуха в вентиляционных струях,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подсвежающих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вентиляционные струи с продуктами горения.</w:t>
      </w:r>
    </w:p>
    <w:p w14:paraId="18CEB8E4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Водяные завесы устанавливаются таким образом, чтобы они перекрывали все сечение выработки и исключали возможность распространения пожара по пустотам за крепью горной выработки.</w:t>
      </w:r>
    </w:p>
    <w:p w14:paraId="14A29E8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7. Запрещается тушение пожара водой, когда в горных выработках с исходящей из очага пожара вентиляционной струей находятся люди.</w:t>
      </w:r>
    </w:p>
    <w:p w14:paraId="321BF797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8. Тушение пожаров проводят в ДА.</w:t>
      </w:r>
    </w:p>
    <w:p w14:paraId="75F6353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2DF0A44A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9. При тушении пожара водой предусматриваются меры, направленные на снижение парообразования.</w:t>
      </w:r>
    </w:p>
    <w:p w14:paraId="620A0D80" w14:textId="77777777" w:rsid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10. Запрещается тушение пожара водой в подземных горных выработках соляных и калийных рудников.</w:t>
      </w:r>
    </w:p>
    <w:p w14:paraId="0509A505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36AA909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Тушение пожаров в тупиковых горных выработках</w:t>
      </w:r>
    </w:p>
    <w:p w14:paraId="7580E885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11. Тушение пожара в тупиковых выработках активным способом со стороны забоя осуществляется дистанционно.</w:t>
      </w:r>
    </w:p>
    <w:p w14:paraId="22594A13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12. При тушении пожара в наклонной тупиковой выработке методом затопления организуется проветривание тупиковой части выработки от ее устья до затопленной части. Тупиковую часть выработки допускается не проветривать при условии, что в ней исключено нахождение людей и организован дистанционный контроль уровня воды.</w:t>
      </w:r>
    </w:p>
    <w:p w14:paraId="5D11B9B0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Тупиковые горные выработки, примыкающие к горным выработкам с реверсивными позициями ПЛА, включаются в зону реверсии.</w:t>
      </w:r>
    </w:p>
    <w:p w14:paraId="0769AD74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13. В случае, если при развитии пожара возникает необходимость вывести людей из тупиковой выработки, выполняются мероприятия, которые ограничивают возможность распространения горения, а также способствуют затуханию очага пожара (далее - локализация пожара).</w:t>
      </w:r>
    </w:p>
    <w:p w14:paraId="3F17B340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1B46CC2C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3579FD3E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085C9980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4482F5C1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6F60E68E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20FD9B4F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61464B27" w14:textId="77777777" w:rsidR="00B27A5B" w:rsidRDefault="00B27A5B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0B446390" w14:textId="3C3BE829" w:rsidR="00DA5EFF" w:rsidRPr="00DA5EFF" w:rsidRDefault="00DA5EFF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lastRenderedPageBreak/>
        <w:t>Тушение пожаров в наклонных горных выработках</w:t>
      </w:r>
    </w:p>
    <w:p w14:paraId="139CB47F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14. При пожаре в наклонной выработке с восходящим проветриванием выполняются меры по предотвращению рециркуляции продуктов горения.</w:t>
      </w:r>
    </w:p>
    <w:p w14:paraId="62D2C82B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15. При пожаре в наклонной выработке с нисходящим проветриванием выполняются меры по предотвращению самопроизвольного опрокидывания вентиляционной струи.</w:t>
      </w:r>
    </w:p>
    <w:p w14:paraId="4DD6C5A5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16. Пожар в наклонной выработке с углом наклона более 20° тушится активным способом дистанционно.</w:t>
      </w:r>
    </w:p>
    <w:p w14:paraId="625A6066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17. При тушении пожара в наклонной выработке, оборудованной ленточным конвейером, выполняются меры по предотвращению обрыва и скатывания конвейерной ленты.</w:t>
      </w:r>
    </w:p>
    <w:p w14:paraId="031A10F4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1A091132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Тушение пожаров в вертикальных горных выработках</w:t>
      </w:r>
    </w:p>
    <w:p w14:paraId="6F9E5093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18. Пожары в вертикальных горных выработках тушатся активным способом сверху вниз. Нахождение людей в вертикальных горных выработках во время тушения в них пожара запрещается.</w:t>
      </w:r>
    </w:p>
    <w:p w14:paraId="25603F4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19. При тушении активным способом и локализации пожаров в вертикальных горных выработках с восходящей струей воздуха с применением воды, подаваемой с поверхности, выполняются меры, исключающие опрокидывание вентиляционной струи.</w:t>
      </w:r>
    </w:p>
    <w:p w14:paraId="7E3A078B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20. При тушении активным способом и локализации пожара в вертикальном стволе с исходящей вентиляционной струей или в надшахтном здании этого ствола не допускается изменение направления вентиляционной струи.</w:t>
      </w:r>
    </w:p>
    <w:p w14:paraId="52467AD7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21. При пожаре в надшахтном здании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воздухоподающего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ствола выполняются меры по предотвращению поступления продуктов горения в подземные горные выработки: реверсирование вентиляционной струи, или перекрытие устья ствола, или остановка ВГП.</w:t>
      </w:r>
    </w:p>
    <w:p w14:paraId="36DCFCAB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22. При пожаре в надшахтном здании или в вертикальной выработке, оборудованной подъемом, выполняются меры, предотвращающие падение подъемных сосудов, а также попадание горящих предметов и продуктов горения в подземные горные выработки.</w:t>
      </w:r>
    </w:p>
    <w:p w14:paraId="574FF512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Тушение пожаров активным способом на опасных производственных объектах ведения подземных горных работ, опасных по газу и (или) пыли</w:t>
      </w:r>
    </w:p>
    <w:p w14:paraId="260E893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23. При тушении пожара активным способом с присутствием людей в зоне действия пожара на ОПО ведения подземных горных работ, опасных по газу и (или) пыли, следует:</w:t>
      </w:r>
    </w:p>
    <w:p w14:paraId="69E79244" w14:textId="77777777" w:rsidR="00DA5EFF" w:rsidRPr="00CC23FD" w:rsidRDefault="00DA5EFF" w:rsidP="00CC23FD">
      <w:pPr>
        <w:pStyle w:val="a8"/>
        <w:numPr>
          <w:ilvl w:val="0"/>
          <w:numId w:val="82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C23FD">
        <w:rPr>
          <w:rFonts w:ascii="Arial" w:hAnsi="Arial" w:cs="Arial"/>
          <w:sz w:val="28"/>
          <w:szCs w:val="28"/>
          <w:lang w:eastAsia="ru-RU"/>
        </w:rPr>
        <w:t>не допускать накопления в зоне аварии взрывоопасных концентраций горючих газов;</w:t>
      </w:r>
    </w:p>
    <w:p w14:paraId="6B8C13AA" w14:textId="77777777" w:rsidR="00DA5EFF" w:rsidRPr="00CC23FD" w:rsidRDefault="00DA5EFF" w:rsidP="00CC23FD">
      <w:pPr>
        <w:pStyle w:val="a8"/>
        <w:numPr>
          <w:ilvl w:val="0"/>
          <w:numId w:val="82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C23FD">
        <w:rPr>
          <w:rFonts w:ascii="Arial" w:hAnsi="Arial" w:cs="Arial"/>
          <w:sz w:val="28"/>
          <w:szCs w:val="28"/>
          <w:lang w:eastAsia="ru-RU"/>
        </w:rPr>
        <w:t>осуществлять непрерывный контроль газовой обстановки на аварийном участке и контроль скоплений горючих газов приборами непрерывного контроля содержания горючих газов со звуковой и световой сигнализацией.</w:t>
      </w:r>
    </w:p>
    <w:p w14:paraId="7A314353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24. Тушение пожара в выработанном пространстве следует осуществлять подачей огнетушащих веществ дистанционно, при этом люди должны находиться на расстоянии от места возникновения аварии, далее которого отсутствует вероятность воздействия опасных факторов аварии на человека (далее - безопасное расстояние), либо на поверхности.</w:t>
      </w:r>
    </w:p>
    <w:p w14:paraId="060231BF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25. Запрещается тушить пожар в непроветриваемых тупиковых горных выработках.</w:t>
      </w:r>
    </w:p>
    <w:p w14:paraId="7EE382BB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В случае если при пожаре в тупиковой выработке проветривание было нарушено из-за остановки вентилятора местного проветривания, его включение проводится при соблюдении следующих условий:</w:t>
      </w:r>
    </w:p>
    <w:p w14:paraId="26024A42" w14:textId="77777777" w:rsidR="00DA5EFF" w:rsidRPr="00DA5EFF" w:rsidRDefault="00DA5EFF" w:rsidP="00DA5EFF">
      <w:pPr>
        <w:pStyle w:val="a8"/>
        <w:numPr>
          <w:ilvl w:val="0"/>
          <w:numId w:val="75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концентрация смеси горючих газов в этой выработке не взрывоопасна;</w:t>
      </w:r>
    </w:p>
    <w:p w14:paraId="0B4227C8" w14:textId="77777777" w:rsidR="00DA5EFF" w:rsidRPr="00DA5EFF" w:rsidRDefault="00DA5EFF" w:rsidP="00DA5EFF">
      <w:pPr>
        <w:pStyle w:val="a8"/>
        <w:numPr>
          <w:ilvl w:val="0"/>
          <w:numId w:val="75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включение вентилятора местного проветривания не приведет к созданию взрывоопасной концентрации.</w:t>
      </w:r>
    </w:p>
    <w:p w14:paraId="1693BC7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Запрещается ведение горноспасательных работ в тупиковой выработке в том случае, когда отсутствует информация о содержании в ней горючих газов, и в данной выработке нет пострадавших.</w:t>
      </w:r>
    </w:p>
    <w:p w14:paraId="770625C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26. Работы в горных выработках изолированного участка необходимо выполнять только после создания в изолированном пространстве взрывобезопасной рудничной атмосферы и при условии, что процесс поддержания инертной среды является устойчивым и управляемым.</w:t>
      </w:r>
    </w:p>
    <w:p w14:paraId="7657FF76" w14:textId="77777777" w:rsid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28F047A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Тушение подземного пожара методом изоляции горных выработок</w:t>
      </w:r>
    </w:p>
    <w:p w14:paraId="156359C5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27. Изоляцию пожара следует проводить в случаях, когда активный способ тушения пожара невозможен или при его применении не удается локализовать и потушить пожар.</w:t>
      </w:r>
    </w:p>
    <w:p w14:paraId="150F5689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28. Изоляция пожара проводится следующими способами: возведение изолирующих перемычек (далее - ИП), затопление горных выработок, закрытие противопожарных дверей (ляд) и другими способами.</w:t>
      </w:r>
    </w:p>
    <w:p w14:paraId="7A1F1161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29. Изоляцию аварийного участка, в котором находится очаг действующего пожара (далее - пожарный участок), в угольных шахтах способом возведения ИП следует проводить в соответствии с требованиями нормативных правовых актов по аэрологической безопасности угольных шахт.</w:t>
      </w:r>
    </w:p>
    <w:p w14:paraId="5E211877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30. Места возведения ИП, предназначенных для изоляции пожарного участка, их конструкцию, последовательность и сроки возведения определяет РЛА.</w:t>
      </w:r>
    </w:p>
    <w:p w14:paraId="5110AEFC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31. Во время изоляции следует контролировать расход воздуха в горных выработках пожарного участка, содержание газов и температуру воздуха в исходящих с пожарного участка вентиляционных струях.</w:t>
      </w:r>
    </w:p>
    <w:p w14:paraId="06EF866B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32. Изоляцию горных выработок ИП следует осуществлять в следующем порядке:</w:t>
      </w:r>
    </w:p>
    <w:p w14:paraId="7A092EA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определить границы пожарного участка, места установки ИП;</w:t>
      </w:r>
    </w:p>
    <w:p w14:paraId="0BF8901E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принять меры по снижению расхода воздуха, поступающего на пожарный участок, в том числе по герметизации ИП, возведению дополнительных ИП, снятию депрессии с изолированного пространства.</w:t>
      </w:r>
    </w:p>
    <w:p w14:paraId="33D3B095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Тушение подземного пожара методом изоляции горных выработок на опасных производственных объектах ведения подземных горных работ, опасных по газу и (или) пыли</w:t>
      </w:r>
    </w:p>
    <w:p w14:paraId="2473B39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33. На ОПО ведения подземных горных работ, опасных по газу и (или) пыли, горные выработки пожарного участка изолируются взрывоустойчивыми ИП. Изоляцию горных выработок следует производить на безопасных расстояниях.</w:t>
      </w:r>
    </w:p>
    <w:p w14:paraId="5CA1837A" w14:textId="24FB98E4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34. После определения мест установки взрывоустойчивых ИП необходимо:</w:t>
      </w:r>
    </w:p>
    <w:p w14:paraId="4A59C70A" w14:textId="77777777" w:rsidR="00DA5EFF" w:rsidRPr="00DA5EFF" w:rsidRDefault="00DA5EFF" w:rsidP="00DA5EFF">
      <w:pPr>
        <w:pStyle w:val="a8"/>
        <w:numPr>
          <w:ilvl w:val="0"/>
          <w:numId w:val="76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рассчитать площадь поперечного сечения проемов;</w:t>
      </w:r>
    </w:p>
    <w:p w14:paraId="3343D880" w14:textId="77777777" w:rsidR="00DA5EFF" w:rsidRPr="00DA5EFF" w:rsidRDefault="00DA5EFF" w:rsidP="00DA5EFF">
      <w:pPr>
        <w:pStyle w:val="a8"/>
        <w:numPr>
          <w:ilvl w:val="0"/>
          <w:numId w:val="76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проложить трубопроводы для дистанционного отбора проб воздуха в изолированном пространстве;</w:t>
      </w:r>
    </w:p>
    <w:p w14:paraId="3256818F" w14:textId="77777777" w:rsidR="00DA5EFF" w:rsidRPr="00DA5EFF" w:rsidRDefault="00DA5EFF" w:rsidP="00DA5EFF">
      <w:pPr>
        <w:pStyle w:val="a8"/>
        <w:numPr>
          <w:ilvl w:val="0"/>
          <w:numId w:val="76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соорудить взрывоустойчивые ИП в горных выработках, не нарушая проветривание пожарного участка;</w:t>
      </w:r>
    </w:p>
    <w:p w14:paraId="2E14F948" w14:textId="77777777" w:rsidR="00DA5EFF" w:rsidRPr="00DA5EFF" w:rsidRDefault="00DA5EFF" w:rsidP="00DA5EFF">
      <w:pPr>
        <w:pStyle w:val="a8"/>
        <w:numPr>
          <w:ilvl w:val="0"/>
          <w:numId w:val="76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соорудить взрывоустойчивые ИП с проемами в горных выработках с поступающей и исходящей вентиляционными струями;</w:t>
      </w:r>
    </w:p>
    <w:p w14:paraId="65284D3D" w14:textId="77777777" w:rsidR="00DA5EFF" w:rsidRPr="00DA5EFF" w:rsidRDefault="00DA5EFF" w:rsidP="00DA5EFF">
      <w:pPr>
        <w:pStyle w:val="a8"/>
        <w:numPr>
          <w:ilvl w:val="0"/>
          <w:numId w:val="76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закрыть проемы во взрывоустойчивых ИП.</w:t>
      </w:r>
    </w:p>
    <w:p w14:paraId="3CFC02C4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35. Вентиляционные проемы во взрывоустойчивых ИП должны закрываться взрывоустойчивыми крышками. В случае, когда время, необходимое для закрытия проемов составляет более 50% расчетного времени, за которое в изолируемом пространстве образуется взрывоопасная концентрация рудничных газов, проемы закрываются дистанционно.</w:t>
      </w:r>
    </w:p>
    <w:p w14:paraId="31F1E4D4" w14:textId="77777777" w:rsid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36. Количество и площадь поперечного сечения проемов во взрывоустойчивых ИП рассчитываются из условия, что во время выполнения работ по изоляции в изолируемое пространство должен поступать такой объем воздуха, при котором обеспечивается взрывобезопасное содержание горючих газов в изолируемых горных выработках.</w:t>
      </w:r>
    </w:p>
    <w:p w14:paraId="74B94A08" w14:textId="77777777" w:rsidR="00B27A5B" w:rsidRDefault="00B27A5B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2DBB5508" w14:textId="77777777" w:rsidR="00B27A5B" w:rsidRPr="00DA5EFF" w:rsidRDefault="00B27A5B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D069F68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 xml:space="preserve">37. Для сокращения зоны аварии, предотвращения образования взрывоопасных скоплений горючих газов и кислорода, повышения эффективности изоляции допускается осуществлять меры по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инертизации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и (или)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флегматизации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рудничной атмосферы на аварийном участке путем применения инертных газов или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флегматизаторов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.</w:t>
      </w:r>
    </w:p>
    <w:p w14:paraId="5DEA3417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Порядок проведения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инертизации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и (или)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флегматизации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определяется оперативным планом.</w:t>
      </w:r>
    </w:p>
    <w:p w14:paraId="4ED65C96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Процесс поддержания инертной среды на пожарном участке должен быть устойчивым, контролируемым и управляемым.</w:t>
      </w:r>
    </w:p>
    <w:p w14:paraId="0150D22D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38. При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инертизации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рудничной атмосферы на пожарном участке необходимо:</w:t>
      </w:r>
    </w:p>
    <w:p w14:paraId="357B9F96" w14:textId="77777777" w:rsidR="00DA5EFF" w:rsidRPr="00DA5EFF" w:rsidRDefault="00DA5EFF" w:rsidP="00DA5EFF">
      <w:pPr>
        <w:pStyle w:val="a8"/>
        <w:numPr>
          <w:ilvl w:val="0"/>
          <w:numId w:val="77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определить объем горных выработок пожарного участка, которые необходимо заполнить инертными газами;</w:t>
      </w:r>
    </w:p>
    <w:p w14:paraId="15FE5A81" w14:textId="77777777" w:rsidR="00DA5EFF" w:rsidRPr="00DA5EFF" w:rsidRDefault="00DA5EFF" w:rsidP="00DA5EFF">
      <w:pPr>
        <w:pStyle w:val="a8"/>
        <w:numPr>
          <w:ilvl w:val="0"/>
          <w:numId w:val="77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>рассчитать необходимое количество инертного газа, интенсивность и продолжительность его подачи;</w:t>
      </w:r>
    </w:p>
    <w:p w14:paraId="6C7A9199" w14:textId="77777777" w:rsidR="00DA5EFF" w:rsidRPr="00DA5EFF" w:rsidRDefault="00DA5EFF" w:rsidP="00DA5EFF">
      <w:pPr>
        <w:pStyle w:val="a8"/>
        <w:numPr>
          <w:ilvl w:val="0"/>
          <w:numId w:val="77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A5EFF">
        <w:rPr>
          <w:rFonts w:ascii="Arial" w:hAnsi="Arial" w:cs="Arial"/>
          <w:sz w:val="28"/>
          <w:szCs w:val="28"/>
          <w:lang w:eastAsia="ru-RU"/>
        </w:rPr>
        <w:t xml:space="preserve">определить места установки оборудования для выполнения работ по </w:t>
      </w:r>
      <w:proofErr w:type="spellStart"/>
      <w:r w:rsidRPr="00DA5EFF">
        <w:rPr>
          <w:rFonts w:ascii="Arial" w:hAnsi="Arial" w:cs="Arial"/>
          <w:sz w:val="28"/>
          <w:szCs w:val="28"/>
          <w:lang w:eastAsia="ru-RU"/>
        </w:rPr>
        <w:t>инертизации</w:t>
      </w:r>
      <w:proofErr w:type="spellEnd"/>
      <w:r w:rsidRPr="00DA5EFF">
        <w:rPr>
          <w:rFonts w:ascii="Arial" w:hAnsi="Arial" w:cs="Arial"/>
          <w:sz w:val="28"/>
          <w:szCs w:val="28"/>
          <w:lang w:eastAsia="ru-RU"/>
        </w:rPr>
        <w:t xml:space="preserve"> рудничной атмосферы в изолируемом пространстве.</w:t>
      </w:r>
    </w:p>
    <w:p w14:paraId="643E598F" w14:textId="77777777" w:rsidR="00DA5EFF" w:rsidRPr="00DA5EFF" w:rsidRDefault="00DA5EFF" w:rsidP="00DA5EFF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39. К </w:t>
      </w: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инертизации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рудничной атмосферы в изолируемом пространстве следует приступать после окончания работ по изоляции пожарного участка.</w:t>
      </w:r>
    </w:p>
    <w:p w14:paraId="50E6B91C" w14:textId="43CF084B" w:rsidR="00CC23FD" w:rsidRDefault="00DA5EFF" w:rsidP="00B27A5B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proofErr w:type="spellStart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>Инертизация</w:t>
      </w:r>
      <w:proofErr w:type="spellEnd"/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рудничной атмосферы в изолируемом пространстве может быть начата до окончания возведения взрывоустойчивых ИП в случае, если объем подаваемого инертного газа превышает расход воздуха, поступающего на пожарный участок.</w:t>
      </w:r>
      <w:bookmarkStart w:id="1" w:name="_Hlk160105609"/>
    </w:p>
    <w:p w14:paraId="5A7DE4DD" w14:textId="77777777" w:rsidR="00CC23FD" w:rsidRDefault="00CC23FD" w:rsidP="00122F94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6B0253CA" w14:textId="77777777" w:rsidR="00CC23FD" w:rsidRDefault="00CC23FD" w:rsidP="00122F94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0E42131B" w14:textId="77777777" w:rsidR="00CC23FD" w:rsidRDefault="00CC23FD" w:rsidP="00122F94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</w:p>
    <w:bookmarkEnd w:id="1"/>
    <w:bookmarkEnd w:id="0"/>
    <w:sectPr w:rsidR="00CC23FD" w:rsidSect="006D23AD">
      <w:headerReference w:type="default" r:id="rId7"/>
      <w:pgSz w:w="16838" w:h="11906" w:orient="landscape" w:code="9"/>
      <w:pgMar w:top="360" w:right="740" w:bottom="3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6E3C" w14:textId="77777777" w:rsidR="006D23AD" w:rsidRDefault="006D23AD" w:rsidP="00B62742">
      <w:r>
        <w:separator/>
      </w:r>
    </w:p>
  </w:endnote>
  <w:endnote w:type="continuationSeparator" w:id="0">
    <w:p w14:paraId="6083EAC0" w14:textId="77777777" w:rsidR="006D23AD" w:rsidRDefault="006D23AD" w:rsidP="00B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D7E7" w14:textId="77777777" w:rsidR="006D23AD" w:rsidRDefault="006D23AD" w:rsidP="00B62742">
      <w:r>
        <w:separator/>
      </w:r>
    </w:p>
  </w:footnote>
  <w:footnote w:type="continuationSeparator" w:id="0">
    <w:p w14:paraId="3782D543" w14:textId="77777777" w:rsidR="006D23AD" w:rsidRDefault="006D23AD" w:rsidP="00B6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C3F7" w14:textId="77777777" w:rsidR="00A410F1" w:rsidRDefault="00A410F1">
    <w:pPr>
      <w:pStyle w:val="a3"/>
    </w:pPr>
    <w:r w:rsidRPr="00287122">
      <w:rPr>
        <w:noProof/>
        <w:lang w:eastAsia="ru-RU"/>
      </w:rPr>
      <w:drawing>
        <wp:inline distT="0" distB="0" distL="0" distR="0" wp14:anchorId="0F3C4184" wp14:editId="423119B2">
          <wp:extent cx="637909" cy="469900"/>
          <wp:effectExtent l="0" t="0" r="0" b="6350"/>
          <wp:docPr id="1717634480" name="Рисунок 9">
            <a:extLst xmlns:a="http://schemas.openxmlformats.org/drawingml/2006/main">
              <a:ext uri="{FF2B5EF4-FFF2-40B4-BE49-F238E27FC236}">
                <a16:creationId xmlns:a16="http://schemas.microsoft.com/office/drawing/2014/main" id="{54E2B0B0-1FDD-4063-965F-65880C7549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Рисунок 9">
                    <a:extLst>
                      <a:ext uri="{FF2B5EF4-FFF2-40B4-BE49-F238E27FC236}">
                        <a16:creationId xmlns:a16="http://schemas.microsoft.com/office/drawing/2014/main" id="{54E2B0B0-1FDD-4063-965F-65880C7549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7909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6CBE0" w14:textId="77777777" w:rsidR="00A410F1" w:rsidRDefault="00A410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EED"/>
    <w:multiLevelType w:val="hybridMultilevel"/>
    <w:tmpl w:val="2278C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D1161"/>
    <w:multiLevelType w:val="hybridMultilevel"/>
    <w:tmpl w:val="EE608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B72F9"/>
    <w:multiLevelType w:val="hybridMultilevel"/>
    <w:tmpl w:val="3A0C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BB12F6"/>
    <w:multiLevelType w:val="hybridMultilevel"/>
    <w:tmpl w:val="3B1E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082"/>
    <w:multiLevelType w:val="hybridMultilevel"/>
    <w:tmpl w:val="E1B4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14CB"/>
    <w:multiLevelType w:val="hybridMultilevel"/>
    <w:tmpl w:val="EC5C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0EBB"/>
    <w:multiLevelType w:val="hybridMultilevel"/>
    <w:tmpl w:val="BF547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B201D7"/>
    <w:multiLevelType w:val="hybridMultilevel"/>
    <w:tmpl w:val="6DB6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5689D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93232"/>
    <w:multiLevelType w:val="hybridMultilevel"/>
    <w:tmpl w:val="C3D0B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C55C11"/>
    <w:multiLevelType w:val="hybridMultilevel"/>
    <w:tmpl w:val="8C06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016A"/>
    <w:multiLevelType w:val="hybridMultilevel"/>
    <w:tmpl w:val="DC56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85816"/>
    <w:multiLevelType w:val="hybridMultilevel"/>
    <w:tmpl w:val="0DF8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B33559"/>
    <w:multiLevelType w:val="hybridMultilevel"/>
    <w:tmpl w:val="CEE0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A5D40"/>
    <w:multiLevelType w:val="hybridMultilevel"/>
    <w:tmpl w:val="35CA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A3F07"/>
    <w:multiLevelType w:val="hybridMultilevel"/>
    <w:tmpl w:val="8700B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CE4771"/>
    <w:multiLevelType w:val="hybridMultilevel"/>
    <w:tmpl w:val="05168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412279"/>
    <w:multiLevelType w:val="hybridMultilevel"/>
    <w:tmpl w:val="7D1E865A"/>
    <w:lvl w:ilvl="0" w:tplc="5328A758">
      <w:numFmt w:val="bullet"/>
      <w:lvlText w:val="•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A62F72"/>
    <w:multiLevelType w:val="hybridMultilevel"/>
    <w:tmpl w:val="BCB2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439CC"/>
    <w:multiLevelType w:val="hybridMultilevel"/>
    <w:tmpl w:val="E8FCB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80D7043"/>
    <w:multiLevelType w:val="hybridMultilevel"/>
    <w:tmpl w:val="28B61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BD3AAC"/>
    <w:multiLevelType w:val="hybridMultilevel"/>
    <w:tmpl w:val="0D188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9940313"/>
    <w:multiLevelType w:val="hybridMultilevel"/>
    <w:tmpl w:val="5E1C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F17892"/>
    <w:multiLevelType w:val="hybridMultilevel"/>
    <w:tmpl w:val="A6C2E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A07249C"/>
    <w:multiLevelType w:val="hybridMultilevel"/>
    <w:tmpl w:val="392C9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A5B516F"/>
    <w:multiLevelType w:val="hybridMultilevel"/>
    <w:tmpl w:val="86E4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E3550"/>
    <w:multiLevelType w:val="hybridMultilevel"/>
    <w:tmpl w:val="150CA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D2B3532"/>
    <w:multiLevelType w:val="hybridMultilevel"/>
    <w:tmpl w:val="1884C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04A6529"/>
    <w:multiLevelType w:val="hybridMultilevel"/>
    <w:tmpl w:val="633A4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143311D"/>
    <w:multiLevelType w:val="hybridMultilevel"/>
    <w:tmpl w:val="A3AEC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5E61954"/>
    <w:multiLevelType w:val="hybridMultilevel"/>
    <w:tmpl w:val="AEA8E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0670FB3"/>
    <w:multiLevelType w:val="hybridMultilevel"/>
    <w:tmpl w:val="E2407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08312A"/>
    <w:multiLevelType w:val="hybridMultilevel"/>
    <w:tmpl w:val="B79ED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8A437B0"/>
    <w:multiLevelType w:val="hybridMultilevel"/>
    <w:tmpl w:val="3A24E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9CA2AC2"/>
    <w:multiLevelType w:val="hybridMultilevel"/>
    <w:tmpl w:val="34AAC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C0D0677"/>
    <w:multiLevelType w:val="hybridMultilevel"/>
    <w:tmpl w:val="6F3E1F38"/>
    <w:lvl w:ilvl="0" w:tplc="F26CE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0651822"/>
    <w:multiLevelType w:val="hybridMultilevel"/>
    <w:tmpl w:val="F1C2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04F6D"/>
    <w:multiLevelType w:val="hybridMultilevel"/>
    <w:tmpl w:val="92068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2B60DA0"/>
    <w:multiLevelType w:val="hybridMultilevel"/>
    <w:tmpl w:val="DC1E1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3B94319"/>
    <w:multiLevelType w:val="hybridMultilevel"/>
    <w:tmpl w:val="9990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58721D3"/>
    <w:multiLevelType w:val="hybridMultilevel"/>
    <w:tmpl w:val="7F1E25FE"/>
    <w:lvl w:ilvl="0" w:tplc="5328A75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45B60723"/>
    <w:multiLevelType w:val="hybridMultilevel"/>
    <w:tmpl w:val="DD5A53F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4A8503A2"/>
    <w:multiLevelType w:val="hybridMultilevel"/>
    <w:tmpl w:val="F78C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AA30770"/>
    <w:multiLevelType w:val="hybridMultilevel"/>
    <w:tmpl w:val="FD122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B067972"/>
    <w:multiLevelType w:val="hybridMultilevel"/>
    <w:tmpl w:val="A9DA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8141D8"/>
    <w:multiLevelType w:val="hybridMultilevel"/>
    <w:tmpl w:val="80CEC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D48099F"/>
    <w:multiLevelType w:val="hybridMultilevel"/>
    <w:tmpl w:val="87845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E097E6E"/>
    <w:multiLevelType w:val="hybridMultilevel"/>
    <w:tmpl w:val="0E76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892796"/>
    <w:multiLevelType w:val="hybridMultilevel"/>
    <w:tmpl w:val="DB5C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CB7575"/>
    <w:multiLevelType w:val="hybridMultilevel"/>
    <w:tmpl w:val="575A9AE6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EDC08D7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FA0577"/>
    <w:multiLevelType w:val="hybridMultilevel"/>
    <w:tmpl w:val="8742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3D0EE3"/>
    <w:multiLevelType w:val="hybridMultilevel"/>
    <w:tmpl w:val="B16A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3ED7FBA"/>
    <w:multiLevelType w:val="hybridMultilevel"/>
    <w:tmpl w:val="D466F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5E20708"/>
    <w:multiLevelType w:val="hybridMultilevel"/>
    <w:tmpl w:val="F1F00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6873C73"/>
    <w:multiLevelType w:val="hybridMultilevel"/>
    <w:tmpl w:val="80D01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71335BA"/>
    <w:multiLevelType w:val="hybridMultilevel"/>
    <w:tmpl w:val="E378F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7C1454E"/>
    <w:multiLevelType w:val="hybridMultilevel"/>
    <w:tmpl w:val="2D8C9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97069B5"/>
    <w:multiLevelType w:val="hybridMultilevel"/>
    <w:tmpl w:val="1E74C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9846F5F"/>
    <w:multiLevelType w:val="hybridMultilevel"/>
    <w:tmpl w:val="B0924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AD3196F"/>
    <w:multiLevelType w:val="hybridMultilevel"/>
    <w:tmpl w:val="EBA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15FC7"/>
    <w:multiLevelType w:val="hybridMultilevel"/>
    <w:tmpl w:val="4578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F65CE1"/>
    <w:multiLevelType w:val="hybridMultilevel"/>
    <w:tmpl w:val="F39A1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0513D7A"/>
    <w:multiLevelType w:val="hybridMultilevel"/>
    <w:tmpl w:val="83DC2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34E7796"/>
    <w:multiLevelType w:val="hybridMultilevel"/>
    <w:tmpl w:val="EF32D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35F0823"/>
    <w:multiLevelType w:val="hybridMultilevel"/>
    <w:tmpl w:val="9064F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6563BA5"/>
    <w:multiLevelType w:val="hybridMultilevel"/>
    <w:tmpl w:val="D73A8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6F16AFD"/>
    <w:multiLevelType w:val="hybridMultilevel"/>
    <w:tmpl w:val="93688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CFA6F7F"/>
    <w:multiLevelType w:val="hybridMultilevel"/>
    <w:tmpl w:val="6BECA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D3445EE"/>
    <w:multiLevelType w:val="hybridMultilevel"/>
    <w:tmpl w:val="F7841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F960A77"/>
    <w:multiLevelType w:val="hybridMultilevel"/>
    <w:tmpl w:val="5C42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9E2910"/>
    <w:multiLevelType w:val="hybridMultilevel"/>
    <w:tmpl w:val="0AD60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179A"/>
    <w:multiLevelType w:val="hybridMultilevel"/>
    <w:tmpl w:val="3FFA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15D3BB8"/>
    <w:multiLevelType w:val="hybridMultilevel"/>
    <w:tmpl w:val="7396A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3931E76"/>
    <w:multiLevelType w:val="hybridMultilevel"/>
    <w:tmpl w:val="8834C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4CE4AC6"/>
    <w:multiLevelType w:val="hybridMultilevel"/>
    <w:tmpl w:val="AD448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6A3846"/>
    <w:multiLevelType w:val="hybridMultilevel"/>
    <w:tmpl w:val="3522E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66420F3"/>
    <w:multiLevelType w:val="hybridMultilevel"/>
    <w:tmpl w:val="9FBA0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8C87509"/>
    <w:multiLevelType w:val="hybridMultilevel"/>
    <w:tmpl w:val="497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F87745"/>
    <w:multiLevelType w:val="hybridMultilevel"/>
    <w:tmpl w:val="BCF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93357C"/>
    <w:multiLevelType w:val="hybridMultilevel"/>
    <w:tmpl w:val="48A42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E5A1E18"/>
    <w:multiLevelType w:val="hybridMultilevel"/>
    <w:tmpl w:val="72B02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EA24EDF"/>
    <w:multiLevelType w:val="hybridMultilevel"/>
    <w:tmpl w:val="163A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FC618BF"/>
    <w:multiLevelType w:val="hybridMultilevel"/>
    <w:tmpl w:val="32EAA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8307136">
    <w:abstractNumId w:val="50"/>
  </w:num>
  <w:num w:numId="2" w16cid:durableId="628128482">
    <w:abstractNumId w:val="10"/>
  </w:num>
  <w:num w:numId="3" w16cid:durableId="303510476">
    <w:abstractNumId w:val="58"/>
  </w:num>
  <w:num w:numId="4" w16cid:durableId="565915214">
    <w:abstractNumId w:val="8"/>
  </w:num>
  <w:num w:numId="5" w16cid:durableId="507793672">
    <w:abstractNumId w:val="78"/>
  </w:num>
  <w:num w:numId="6" w16cid:durableId="1634477713">
    <w:abstractNumId w:val="51"/>
  </w:num>
  <w:num w:numId="7" w16cid:durableId="1540511172">
    <w:abstractNumId w:val="13"/>
  </w:num>
  <w:num w:numId="8" w16cid:durableId="154733217">
    <w:abstractNumId w:val="75"/>
  </w:num>
  <w:num w:numId="9" w16cid:durableId="580723718">
    <w:abstractNumId w:val="35"/>
  </w:num>
  <w:num w:numId="10" w16cid:durableId="1551766375">
    <w:abstractNumId w:val="7"/>
  </w:num>
  <w:num w:numId="11" w16cid:durableId="1798256894">
    <w:abstractNumId w:val="22"/>
  </w:num>
  <w:num w:numId="12" w16cid:durableId="521820400">
    <w:abstractNumId w:val="36"/>
  </w:num>
  <w:num w:numId="13" w16cid:durableId="1921060924">
    <w:abstractNumId w:val="14"/>
  </w:num>
  <w:num w:numId="14" w16cid:durableId="238756616">
    <w:abstractNumId w:val="18"/>
  </w:num>
  <w:num w:numId="15" w16cid:durableId="1028682899">
    <w:abstractNumId w:val="11"/>
  </w:num>
  <w:num w:numId="16" w16cid:durableId="2079665143">
    <w:abstractNumId w:val="71"/>
  </w:num>
  <w:num w:numId="17" w16cid:durableId="717708211">
    <w:abstractNumId w:val="25"/>
  </w:num>
  <w:num w:numId="18" w16cid:durableId="1376855038">
    <w:abstractNumId w:val="3"/>
  </w:num>
  <w:num w:numId="19" w16cid:durableId="541357921">
    <w:abstractNumId w:val="28"/>
  </w:num>
  <w:num w:numId="20" w16cid:durableId="1366175612">
    <w:abstractNumId w:val="70"/>
  </w:num>
  <w:num w:numId="21" w16cid:durableId="1557741717">
    <w:abstractNumId w:val="61"/>
  </w:num>
  <w:num w:numId="22" w16cid:durableId="114255186">
    <w:abstractNumId w:val="44"/>
  </w:num>
  <w:num w:numId="23" w16cid:durableId="802310937">
    <w:abstractNumId w:val="48"/>
  </w:num>
  <w:num w:numId="24" w16cid:durableId="802692327">
    <w:abstractNumId w:val="79"/>
  </w:num>
  <w:num w:numId="25" w16cid:durableId="1838763433">
    <w:abstractNumId w:val="20"/>
  </w:num>
  <w:num w:numId="26" w16cid:durableId="1706250110">
    <w:abstractNumId w:val="60"/>
  </w:num>
  <w:num w:numId="27" w16cid:durableId="1349408516">
    <w:abstractNumId w:val="5"/>
  </w:num>
  <w:num w:numId="28" w16cid:durableId="1352142730">
    <w:abstractNumId w:val="52"/>
  </w:num>
  <w:num w:numId="29" w16cid:durableId="1568419328">
    <w:abstractNumId w:val="64"/>
  </w:num>
  <w:num w:numId="30" w16cid:durableId="1079524886">
    <w:abstractNumId w:val="12"/>
  </w:num>
  <w:num w:numId="31" w16cid:durableId="943995047">
    <w:abstractNumId w:val="29"/>
  </w:num>
  <w:num w:numId="32" w16cid:durableId="862287060">
    <w:abstractNumId w:val="39"/>
  </w:num>
  <w:num w:numId="33" w16cid:durableId="662508065">
    <w:abstractNumId w:val="33"/>
  </w:num>
  <w:num w:numId="34" w16cid:durableId="534661598">
    <w:abstractNumId w:val="82"/>
  </w:num>
  <w:num w:numId="35" w16cid:durableId="1369330967">
    <w:abstractNumId w:val="27"/>
  </w:num>
  <w:num w:numId="36" w16cid:durableId="602614119">
    <w:abstractNumId w:val="15"/>
  </w:num>
  <w:num w:numId="37" w16cid:durableId="445394141">
    <w:abstractNumId w:val="65"/>
  </w:num>
  <w:num w:numId="38" w16cid:durableId="103573889">
    <w:abstractNumId w:val="59"/>
  </w:num>
  <w:num w:numId="39" w16cid:durableId="1634941274">
    <w:abstractNumId w:val="68"/>
  </w:num>
  <w:num w:numId="40" w16cid:durableId="490802955">
    <w:abstractNumId w:val="38"/>
  </w:num>
  <w:num w:numId="41" w16cid:durableId="352994151">
    <w:abstractNumId w:val="19"/>
  </w:num>
  <w:num w:numId="42" w16cid:durableId="1975406989">
    <w:abstractNumId w:val="42"/>
  </w:num>
  <w:num w:numId="43" w16cid:durableId="256132015">
    <w:abstractNumId w:val="47"/>
  </w:num>
  <w:num w:numId="44" w16cid:durableId="1399355583">
    <w:abstractNumId w:val="80"/>
  </w:num>
  <w:num w:numId="45" w16cid:durableId="213279997">
    <w:abstractNumId w:val="16"/>
  </w:num>
  <w:num w:numId="46" w16cid:durableId="1297417141">
    <w:abstractNumId w:val="67"/>
  </w:num>
  <w:num w:numId="47" w16cid:durableId="1409183984">
    <w:abstractNumId w:val="2"/>
  </w:num>
  <w:num w:numId="48" w16cid:durableId="1412846581">
    <w:abstractNumId w:val="23"/>
  </w:num>
  <w:num w:numId="49" w16cid:durableId="2082172737">
    <w:abstractNumId w:val="66"/>
  </w:num>
  <w:num w:numId="50" w16cid:durableId="1067190793">
    <w:abstractNumId w:val="34"/>
  </w:num>
  <w:num w:numId="51" w16cid:durableId="1577671618">
    <w:abstractNumId w:val="77"/>
  </w:num>
  <w:num w:numId="52" w16cid:durableId="239102860">
    <w:abstractNumId w:val="24"/>
  </w:num>
  <w:num w:numId="53" w16cid:durableId="1169635121">
    <w:abstractNumId w:val="83"/>
  </w:num>
  <w:num w:numId="54" w16cid:durableId="1910338259">
    <w:abstractNumId w:val="46"/>
  </w:num>
  <w:num w:numId="55" w16cid:durableId="881675397">
    <w:abstractNumId w:val="55"/>
  </w:num>
  <w:num w:numId="56" w16cid:durableId="1673947658">
    <w:abstractNumId w:val="53"/>
  </w:num>
  <w:num w:numId="57" w16cid:durableId="155995985">
    <w:abstractNumId w:val="9"/>
  </w:num>
  <w:num w:numId="58" w16cid:durableId="570310718">
    <w:abstractNumId w:val="54"/>
  </w:num>
  <w:num w:numId="59" w16cid:durableId="1110081513">
    <w:abstractNumId w:val="63"/>
  </w:num>
  <w:num w:numId="60" w16cid:durableId="1855194540">
    <w:abstractNumId w:val="41"/>
  </w:num>
  <w:num w:numId="61" w16cid:durableId="981230055">
    <w:abstractNumId w:val="40"/>
  </w:num>
  <w:num w:numId="62" w16cid:durableId="1521235234">
    <w:abstractNumId w:val="17"/>
  </w:num>
  <w:num w:numId="63" w16cid:durableId="1810705388">
    <w:abstractNumId w:val="49"/>
  </w:num>
  <w:num w:numId="64" w16cid:durableId="1598169826">
    <w:abstractNumId w:val="1"/>
  </w:num>
  <w:num w:numId="65" w16cid:durableId="851139393">
    <w:abstractNumId w:val="6"/>
  </w:num>
  <w:num w:numId="66" w16cid:durableId="1748725831">
    <w:abstractNumId w:val="21"/>
  </w:num>
  <w:num w:numId="67" w16cid:durableId="513307599">
    <w:abstractNumId w:val="26"/>
  </w:num>
  <w:num w:numId="68" w16cid:durableId="1841458656">
    <w:abstractNumId w:val="73"/>
  </w:num>
  <w:num w:numId="69" w16cid:durableId="905601929">
    <w:abstractNumId w:val="56"/>
  </w:num>
  <w:num w:numId="70" w16cid:durableId="663774884">
    <w:abstractNumId w:val="76"/>
  </w:num>
  <w:num w:numId="71" w16cid:durableId="1497188107">
    <w:abstractNumId w:val="32"/>
  </w:num>
  <w:num w:numId="72" w16cid:durableId="1028212716">
    <w:abstractNumId w:val="74"/>
  </w:num>
  <w:num w:numId="73" w16cid:durableId="435173803">
    <w:abstractNumId w:val="4"/>
  </w:num>
  <w:num w:numId="74" w16cid:durableId="636952558">
    <w:abstractNumId w:val="31"/>
  </w:num>
  <w:num w:numId="75" w16cid:durableId="1060398391">
    <w:abstractNumId w:val="37"/>
  </w:num>
  <w:num w:numId="76" w16cid:durableId="1675037030">
    <w:abstractNumId w:val="45"/>
  </w:num>
  <w:num w:numId="77" w16cid:durableId="1519195530">
    <w:abstractNumId w:val="72"/>
  </w:num>
  <w:num w:numId="78" w16cid:durableId="579215457">
    <w:abstractNumId w:val="57"/>
  </w:num>
  <w:num w:numId="79" w16cid:durableId="1196040616">
    <w:abstractNumId w:val="69"/>
  </w:num>
  <w:num w:numId="80" w16cid:durableId="1410150763">
    <w:abstractNumId w:val="30"/>
  </w:num>
  <w:num w:numId="81" w16cid:durableId="623774335">
    <w:abstractNumId w:val="43"/>
  </w:num>
  <w:num w:numId="82" w16cid:durableId="1970941010">
    <w:abstractNumId w:val="81"/>
  </w:num>
  <w:num w:numId="83" w16cid:durableId="880749699">
    <w:abstractNumId w:val="62"/>
  </w:num>
  <w:num w:numId="84" w16cid:durableId="17040129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49"/>
    <w:rsid w:val="00000FE6"/>
    <w:rsid w:val="00005E94"/>
    <w:rsid w:val="00024353"/>
    <w:rsid w:val="000254C9"/>
    <w:rsid w:val="0003091B"/>
    <w:rsid w:val="00033A74"/>
    <w:rsid w:val="00054E22"/>
    <w:rsid w:val="00057542"/>
    <w:rsid w:val="00070584"/>
    <w:rsid w:val="00071380"/>
    <w:rsid w:val="00072EBC"/>
    <w:rsid w:val="000749AC"/>
    <w:rsid w:val="000809C1"/>
    <w:rsid w:val="00080CDE"/>
    <w:rsid w:val="00087E9A"/>
    <w:rsid w:val="00093D13"/>
    <w:rsid w:val="00096F93"/>
    <w:rsid w:val="000C4704"/>
    <w:rsid w:val="000E33E6"/>
    <w:rsid w:val="000E7D92"/>
    <w:rsid w:val="000F5922"/>
    <w:rsid w:val="001119D8"/>
    <w:rsid w:val="001172C4"/>
    <w:rsid w:val="00122F94"/>
    <w:rsid w:val="0012366A"/>
    <w:rsid w:val="00135E4C"/>
    <w:rsid w:val="00150B00"/>
    <w:rsid w:val="0016197F"/>
    <w:rsid w:val="00162EBA"/>
    <w:rsid w:val="001654CC"/>
    <w:rsid w:val="00167027"/>
    <w:rsid w:val="00183356"/>
    <w:rsid w:val="00187C7E"/>
    <w:rsid w:val="001A1CB7"/>
    <w:rsid w:val="001B57AF"/>
    <w:rsid w:val="001B6F5C"/>
    <w:rsid w:val="001D2D81"/>
    <w:rsid w:val="001D690D"/>
    <w:rsid w:val="001E33A0"/>
    <w:rsid w:val="001E366B"/>
    <w:rsid w:val="001E690B"/>
    <w:rsid w:val="001F1483"/>
    <w:rsid w:val="001F6E41"/>
    <w:rsid w:val="001F7840"/>
    <w:rsid w:val="0020207C"/>
    <w:rsid w:val="0020239E"/>
    <w:rsid w:val="00205E45"/>
    <w:rsid w:val="0020749C"/>
    <w:rsid w:val="002100B4"/>
    <w:rsid w:val="00211DA9"/>
    <w:rsid w:val="00220FB4"/>
    <w:rsid w:val="00225207"/>
    <w:rsid w:val="00240D19"/>
    <w:rsid w:val="00252BAD"/>
    <w:rsid w:val="00257E88"/>
    <w:rsid w:val="00274DF0"/>
    <w:rsid w:val="00275BC5"/>
    <w:rsid w:val="00276855"/>
    <w:rsid w:val="00277F18"/>
    <w:rsid w:val="00281C37"/>
    <w:rsid w:val="00285BCC"/>
    <w:rsid w:val="00297D52"/>
    <w:rsid w:val="002A0C18"/>
    <w:rsid w:val="002B1972"/>
    <w:rsid w:val="002B7B34"/>
    <w:rsid w:val="002C178D"/>
    <w:rsid w:val="002C1D67"/>
    <w:rsid w:val="002C3E44"/>
    <w:rsid w:val="002C41E1"/>
    <w:rsid w:val="002C547F"/>
    <w:rsid w:val="002D10FC"/>
    <w:rsid w:val="002D5474"/>
    <w:rsid w:val="002E3922"/>
    <w:rsid w:val="002F3900"/>
    <w:rsid w:val="002F4972"/>
    <w:rsid w:val="003044B1"/>
    <w:rsid w:val="00320839"/>
    <w:rsid w:val="003226D3"/>
    <w:rsid w:val="0033122B"/>
    <w:rsid w:val="00346945"/>
    <w:rsid w:val="00357CEC"/>
    <w:rsid w:val="003646A5"/>
    <w:rsid w:val="00365518"/>
    <w:rsid w:val="00374D07"/>
    <w:rsid w:val="003771F5"/>
    <w:rsid w:val="00392600"/>
    <w:rsid w:val="00393442"/>
    <w:rsid w:val="003A1A9C"/>
    <w:rsid w:val="003B01BB"/>
    <w:rsid w:val="003D5910"/>
    <w:rsid w:val="003D591E"/>
    <w:rsid w:val="003E2E26"/>
    <w:rsid w:val="003E6077"/>
    <w:rsid w:val="0040668B"/>
    <w:rsid w:val="00407091"/>
    <w:rsid w:val="00436951"/>
    <w:rsid w:val="00437282"/>
    <w:rsid w:val="004377D7"/>
    <w:rsid w:val="004409D7"/>
    <w:rsid w:val="00441B04"/>
    <w:rsid w:val="004513DD"/>
    <w:rsid w:val="004525CD"/>
    <w:rsid w:val="00453308"/>
    <w:rsid w:val="0045392B"/>
    <w:rsid w:val="00467062"/>
    <w:rsid w:val="00482A87"/>
    <w:rsid w:val="00483037"/>
    <w:rsid w:val="00486FE5"/>
    <w:rsid w:val="00490B47"/>
    <w:rsid w:val="0049233D"/>
    <w:rsid w:val="004B6510"/>
    <w:rsid w:val="004C3B1A"/>
    <w:rsid w:val="004C5C84"/>
    <w:rsid w:val="004C5DD2"/>
    <w:rsid w:val="004C750F"/>
    <w:rsid w:val="004D2D33"/>
    <w:rsid w:val="004D3586"/>
    <w:rsid w:val="004E614C"/>
    <w:rsid w:val="004E644B"/>
    <w:rsid w:val="004E6942"/>
    <w:rsid w:val="004E6CF1"/>
    <w:rsid w:val="004E7A1F"/>
    <w:rsid w:val="004F3B02"/>
    <w:rsid w:val="004F4634"/>
    <w:rsid w:val="00514C89"/>
    <w:rsid w:val="0051516E"/>
    <w:rsid w:val="00515765"/>
    <w:rsid w:val="00527592"/>
    <w:rsid w:val="005300B3"/>
    <w:rsid w:val="00542BD8"/>
    <w:rsid w:val="0056204F"/>
    <w:rsid w:val="0056515C"/>
    <w:rsid w:val="00565BD4"/>
    <w:rsid w:val="00567055"/>
    <w:rsid w:val="00572732"/>
    <w:rsid w:val="00585660"/>
    <w:rsid w:val="005871E6"/>
    <w:rsid w:val="00595EE8"/>
    <w:rsid w:val="00597F2F"/>
    <w:rsid w:val="005B1213"/>
    <w:rsid w:val="005B28CF"/>
    <w:rsid w:val="005B37ED"/>
    <w:rsid w:val="005C0595"/>
    <w:rsid w:val="005D5F0D"/>
    <w:rsid w:val="005E3003"/>
    <w:rsid w:val="005E523E"/>
    <w:rsid w:val="005E5EE6"/>
    <w:rsid w:val="005E7AC7"/>
    <w:rsid w:val="005F022C"/>
    <w:rsid w:val="00602CD7"/>
    <w:rsid w:val="00602F66"/>
    <w:rsid w:val="006067C7"/>
    <w:rsid w:val="006234A4"/>
    <w:rsid w:val="006525BD"/>
    <w:rsid w:val="00663E5E"/>
    <w:rsid w:val="00676D4D"/>
    <w:rsid w:val="00685CAB"/>
    <w:rsid w:val="0068741B"/>
    <w:rsid w:val="00692F15"/>
    <w:rsid w:val="006A7E8B"/>
    <w:rsid w:val="006B017A"/>
    <w:rsid w:val="006C13C9"/>
    <w:rsid w:val="006D23AD"/>
    <w:rsid w:val="006D3105"/>
    <w:rsid w:val="006F1B51"/>
    <w:rsid w:val="007108FB"/>
    <w:rsid w:val="00711119"/>
    <w:rsid w:val="00711DEA"/>
    <w:rsid w:val="007152ED"/>
    <w:rsid w:val="0072033C"/>
    <w:rsid w:val="00737A89"/>
    <w:rsid w:val="00763586"/>
    <w:rsid w:val="00763D56"/>
    <w:rsid w:val="00767AB7"/>
    <w:rsid w:val="007777B9"/>
    <w:rsid w:val="0077793E"/>
    <w:rsid w:val="00783E63"/>
    <w:rsid w:val="007A1366"/>
    <w:rsid w:val="007A69E6"/>
    <w:rsid w:val="007A6B2B"/>
    <w:rsid w:val="007B1190"/>
    <w:rsid w:val="007B46E6"/>
    <w:rsid w:val="007C085C"/>
    <w:rsid w:val="007C2B7D"/>
    <w:rsid w:val="007C3363"/>
    <w:rsid w:val="007C4B4D"/>
    <w:rsid w:val="007C4FBB"/>
    <w:rsid w:val="007C6154"/>
    <w:rsid w:val="007C6A35"/>
    <w:rsid w:val="007D054F"/>
    <w:rsid w:val="007D1D88"/>
    <w:rsid w:val="007D357F"/>
    <w:rsid w:val="007D5427"/>
    <w:rsid w:val="007E5FD6"/>
    <w:rsid w:val="007E66F7"/>
    <w:rsid w:val="007F1E1E"/>
    <w:rsid w:val="007F634A"/>
    <w:rsid w:val="00800B54"/>
    <w:rsid w:val="008140A6"/>
    <w:rsid w:val="00814849"/>
    <w:rsid w:val="008169B7"/>
    <w:rsid w:val="00820E24"/>
    <w:rsid w:val="00822FEF"/>
    <w:rsid w:val="00835E2E"/>
    <w:rsid w:val="0084102E"/>
    <w:rsid w:val="00846A49"/>
    <w:rsid w:val="00857DA9"/>
    <w:rsid w:val="008649C3"/>
    <w:rsid w:val="00867FF1"/>
    <w:rsid w:val="00897030"/>
    <w:rsid w:val="008A15F4"/>
    <w:rsid w:val="008A48D7"/>
    <w:rsid w:val="008B242C"/>
    <w:rsid w:val="008C08CC"/>
    <w:rsid w:val="008C0938"/>
    <w:rsid w:val="008C35D0"/>
    <w:rsid w:val="008D6CB1"/>
    <w:rsid w:val="008F08DA"/>
    <w:rsid w:val="008F14D9"/>
    <w:rsid w:val="00904D1E"/>
    <w:rsid w:val="00905719"/>
    <w:rsid w:val="00934A18"/>
    <w:rsid w:val="009353A4"/>
    <w:rsid w:val="00945BD5"/>
    <w:rsid w:val="00947D07"/>
    <w:rsid w:val="009518B6"/>
    <w:rsid w:val="0095476F"/>
    <w:rsid w:val="00960453"/>
    <w:rsid w:val="00990CC6"/>
    <w:rsid w:val="009A32A1"/>
    <w:rsid w:val="009B158C"/>
    <w:rsid w:val="009B6D7B"/>
    <w:rsid w:val="009C0A10"/>
    <w:rsid w:val="009C600D"/>
    <w:rsid w:val="009C6C8A"/>
    <w:rsid w:val="009D7F11"/>
    <w:rsid w:val="009E0E9E"/>
    <w:rsid w:val="009E3C19"/>
    <w:rsid w:val="009E5B2D"/>
    <w:rsid w:val="009E7B46"/>
    <w:rsid w:val="009F41B1"/>
    <w:rsid w:val="009F5423"/>
    <w:rsid w:val="009F7DC0"/>
    <w:rsid w:val="00A010EB"/>
    <w:rsid w:val="00A10401"/>
    <w:rsid w:val="00A16234"/>
    <w:rsid w:val="00A169B3"/>
    <w:rsid w:val="00A21FBC"/>
    <w:rsid w:val="00A27E89"/>
    <w:rsid w:val="00A3029B"/>
    <w:rsid w:val="00A33B6B"/>
    <w:rsid w:val="00A358B3"/>
    <w:rsid w:val="00A402B2"/>
    <w:rsid w:val="00A410F1"/>
    <w:rsid w:val="00A50BE4"/>
    <w:rsid w:val="00A60FEC"/>
    <w:rsid w:val="00A64827"/>
    <w:rsid w:val="00A6568B"/>
    <w:rsid w:val="00A67016"/>
    <w:rsid w:val="00A73D00"/>
    <w:rsid w:val="00A804DD"/>
    <w:rsid w:val="00A83C28"/>
    <w:rsid w:val="00A95642"/>
    <w:rsid w:val="00AB4B01"/>
    <w:rsid w:val="00AC7DA3"/>
    <w:rsid w:val="00AD38C0"/>
    <w:rsid w:val="00B016E9"/>
    <w:rsid w:val="00B03095"/>
    <w:rsid w:val="00B048C8"/>
    <w:rsid w:val="00B12DAA"/>
    <w:rsid w:val="00B2021D"/>
    <w:rsid w:val="00B25D36"/>
    <w:rsid w:val="00B27A5B"/>
    <w:rsid w:val="00B34218"/>
    <w:rsid w:val="00B449D5"/>
    <w:rsid w:val="00B52C41"/>
    <w:rsid w:val="00B55010"/>
    <w:rsid w:val="00B6217C"/>
    <w:rsid w:val="00B62742"/>
    <w:rsid w:val="00B63344"/>
    <w:rsid w:val="00B6366B"/>
    <w:rsid w:val="00B722A5"/>
    <w:rsid w:val="00B77A9E"/>
    <w:rsid w:val="00B929D2"/>
    <w:rsid w:val="00B966F3"/>
    <w:rsid w:val="00B97774"/>
    <w:rsid w:val="00BA1DC8"/>
    <w:rsid w:val="00BA2F4F"/>
    <w:rsid w:val="00BB100E"/>
    <w:rsid w:val="00BB1BEA"/>
    <w:rsid w:val="00BC5BB3"/>
    <w:rsid w:val="00BD0320"/>
    <w:rsid w:val="00BD2228"/>
    <w:rsid w:val="00BD2F0D"/>
    <w:rsid w:val="00BD39E4"/>
    <w:rsid w:val="00BD4BDC"/>
    <w:rsid w:val="00BE0526"/>
    <w:rsid w:val="00BE16E8"/>
    <w:rsid w:val="00BE4039"/>
    <w:rsid w:val="00BF1F14"/>
    <w:rsid w:val="00C12226"/>
    <w:rsid w:val="00C13F69"/>
    <w:rsid w:val="00C224C3"/>
    <w:rsid w:val="00C313C1"/>
    <w:rsid w:val="00C64682"/>
    <w:rsid w:val="00C66B2E"/>
    <w:rsid w:val="00C8174E"/>
    <w:rsid w:val="00C821EF"/>
    <w:rsid w:val="00C85753"/>
    <w:rsid w:val="00CA33C2"/>
    <w:rsid w:val="00CA4195"/>
    <w:rsid w:val="00CA70B0"/>
    <w:rsid w:val="00CB40ED"/>
    <w:rsid w:val="00CC17BB"/>
    <w:rsid w:val="00CC23FD"/>
    <w:rsid w:val="00CC5959"/>
    <w:rsid w:val="00CC66BA"/>
    <w:rsid w:val="00CC7411"/>
    <w:rsid w:val="00CC78A2"/>
    <w:rsid w:val="00CD32BD"/>
    <w:rsid w:val="00CD387F"/>
    <w:rsid w:val="00CE0C66"/>
    <w:rsid w:val="00CE301E"/>
    <w:rsid w:val="00CE4245"/>
    <w:rsid w:val="00D0269C"/>
    <w:rsid w:val="00D04A08"/>
    <w:rsid w:val="00D10E32"/>
    <w:rsid w:val="00D3106D"/>
    <w:rsid w:val="00D3202B"/>
    <w:rsid w:val="00D335F7"/>
    <w:rsid w:val="00D46CD7"/>
    <w:rsid w:val="00D52B85"/>
    <w:rsid w:val="00D5332C"/>
    <w:rsid w:val="00D63EF7"/>
    <w:rsid w:val="00D64E55"/>
    <w:rsid w:val="00D65FE8"/>
    <w:rsid w:val="00D811C3"/>
    <w:rsid w:val="00DA4B49"/>
    <w:rsid w:val="00DA55A6"/>
    <w:rsid w:val="00DA5EFF"/>
    <w:rsid w:val="00DA6E00"/>
    <w:rsid w:val="00DA79FD"/>
    <w:rsid w:val="00DB1495"/>
    <w:rsid w:val="00DB1D33"/>
    <w:rsid w:val="00DB4CC8"/>
    <w:rsid w:val="00DB7994"/>
    <w:rsid w:val="00DE0E83"/>
    <w:rsid w:val="00E15524"/>
    <w:rsid w:val="00E16588"/>
    <w:rsid w:val="00E256AF"/>
    <w:rsid w:val="00E31749"/>
    <w:rsid w:val="00E31CAA"/>
    <w:rsid w:val="00E41C8B"/>
    <w:rsid w:val="00E43991"/>
    <w:rsid w:val="00E43E3E"/>
    <w:rsid w:val="00E44DAD"/>
    <w:rsid w:val="00E45855"/>
    <w:rsid w:val="00E5349A"/>
    <w:rsid w:val="00E62691"/>
    <w:rsid w:val="00E71500"/>
    <w:rsid w:val="00E728DC"/>
    <w:rsid w:val="00E7640A"/>
    <w:rsid w:val="00E85F15"/>
    <w:rsid w:val="00EA2C22"/>
    <w:rsid w:val="00EB2CB2"/>
    <w:rsid w:val="00EB2DD0"/>
    <w:rsid w:val="00EB33E2"/>
    <w:rsid w:val="00EC05FC"/>
    <w:rsid w:val="00F27089"/>
    <w:rsid w:val="00F4057A"/>
    <w:rsid w:val="00F70D64"/>
    <w:rsid w:val="00F8246D"/>
    <w:rsid w:val="00F950B4"/>
    <w:rsid w:val="00F95ECC"/>
    <w:rsid w:val="00FC28F0"/>
    <w:rsid w:val="00FD54D2"/>
    <w:rsid w:val="00FE501F"/>
    <w:rsid w:val="00FE6BD6"/>
    <w:rsid w:val="00FF0D82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6AADB"/>
  <w15:docId w15:val="{1F2E2AB8-0619-4EBD-AC10-C695061B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F0"/>
    <w:rPr>
      <w:rFonts w:ascii="Times New Roman" w:eastAsia="Times New Roman" w:hAnsi="Times New Roman"/>
      <w:color w:val="212120"/>
      <w:kern w:val="28"/>
    </w:rPr>
  </w:style>
  <w:style w:type="paragraph" w:styleId="1">
    <w:name w:val="heading 1"/>
    <w:basedOn w:val="a"/>
    <w:next w:val="a"/>
    <w:link w:val="10"/>
    <w:uiPriority w:val="9"/>
    <w:qFormat/>
    <w:rsid w:val="00710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0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547F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547F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D2228"/>
    <w:pPr>
      <w:spacing w:before="100" w:beforeAutospacing="1" w:after="100" w:afterAutospacing="1"/>
      <w:outlineLvl w:val="4"/>
    </w:pPr>
    <w:rPr>
      <w:b/>
      <w:bCs/>
      <w:color w:val="auto"/>
      <w:kern w:val="0"/>
      <w:lang w:eastAsia="ru-RU"/>
    </w:rPr>
  </w:style>
  <w:style w:type="paragraph" w:styleId="6">
    <w:name w:val="heading 6"/>
    <w:basedOn w:val="a"/>
    <w:link w:val="60"/>
    <w:uiPriority w:val="9"/>
    <w:qFormat/>
    <w:rsid w:val="00BD2228"/>
    <w:pPr>
      <w:spacing w:before="100" w:beforeAutospacing="1" w:after="100" w:afterAutospacing="1"/>
      <w:outlineLvl w:val="5"/>
    </w:pPr>
    <w:rPr>
      <w:b/>
      <w:bCs/>
      <w:color w:val="auto"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547F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547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character" w:styleId="a7">
    <w:name w:val="Hyperlink"/>
    <w:basedOn w:val="a0"/>
    <w:uiPriority w:val="99"/>
    <w:unhideWhenUsed/>
    <w:rsid w:val="002C547F"/>
    <w:rPr>
      <w:color w:val="0000FF"/>
      <w:u w:val="single"/>
    </w:rPr>
  </w:style>
  <w:style w:type="paragraph" w:customStyle="1" w:styleId="toleft">
    <w:name w:val="tolef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54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table" w:styleId="a9">
    <w:name w:val="Table Grid"/>
    <w:basedOn w:val="a1"/>
    <w:uiPriority w:val="39"/>
    <w:rsid w:val="002C54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C54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ConsPlusNormal">
    <w:name w:val="ConsPlusNormal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C547F"/>
  </w:style>
  <w:style w:type="character" w:customStyle="1" w:styleId="aa">
    <w:name w:val="Основной текст Знак"/>
    <w:basedOn w:val="a0"/>
    <w:link w:val="ab"/>
    <w:uiPriority w:val="99"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31">
    <w:name w:val="toc 3"/>
    <w:basedOn w:val="a"/>
    <w:autoRedefine/>
    <w:uiPriority w:val="3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2C547F"/>
    <w:rPr>
      <w:rFonts w:ascii="Tahoma" w:eastAsiaTheme="minorHAns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2C547F"/>
    <w:rPr>
      <w:rFonts w:ascii="Tahoma" w:eastAsiaTheme="minorHAnsi" w:hAnsi="Tahoma" w:cs="Tahoma"/>
      <w:color w:val="auto"/>
      <w:kern w:val="0"/>
      <w:sz w:val="16"/>
      <w:szCs w:val="16"/>
    </w:rPr>
  </w:style>
  <w:style w:type="paragraph" w:customStyle="1" w:styleId="FORMATTEXT">
    <w:name w:val=".FORMAT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2C547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UNFORMATTEXT">
    <w:name w:val=".UNFORMATTEXT"/>
    <w:uiPriority w:val="99"/>
    <w:rsid w:val="002C547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headertext0">
    <w:name w:val="header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formattext0">
    <w:name w:val="format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msonormal0">
    <w:name w:val="msonormal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center">
    <w:name w:val="pcenter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547F"/>
    <w:rPr>
      <w:rFonts w:ascii="Courier New" w:eastAsia="Times New Roman" w:hAnsi="Courier New" w:cs="Courier New"/>
      <w:lang w:eastAsia="ru-RU"/>
    </w:rPr>
  </w:style>
  <w:style w:type="paragraph" w:customStyle="1" w:styleId="pboth">
    <w:name w:val="pbot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right">
    <w:name w:val="prigh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ConsPlusCell">
    <w:name w:val="ConsPlusCell"/>
    <w:rsid w:val="002C547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e">
    <w:name w:val="Emphasis"/>
    <w:basedOn w:val="a0"/>
    <w:uiPriority w:val="20"/>
    <w:qFormat/>
    <w:rsid w:val="002C547F"/>
    <w:rPr>
      <w:i/>
      <w:iCs/>
    </w:rPr>
  </w:style>
  <w:style w:type="character" w:styleId="af">
    <w:name w:val="Strong"/>
    <w:basedOn w:val="a0"/>
    <w:uiPriority w:val="22"/>
    <w:qFormat/>
    <w:rsid w:val="002C547F"/>
    <w:rPr>
      <w:b/>
      <w:bCs/>
    </w:rPr>
  </w:style>
  <w:style w:type="paragraph" w:customStyle="1" w:styleId="paragraph">
    <w:name w:val="paragrap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text">
    <w:name w:val="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3">
    <w:name w:val="Колонтитул (2)_"/>
    <w:basedOn w:val="a0"/>
    <w:link w:val="24"/>
    <w:uiPriority w:val="99"/>
    <w:rsid w:val="002C547F"/>
    <w:rPr>
      <w:rFonts w:ascii="Times New Roman" w:hAnsi="Times New Roman"/>
    </w:rPr>
  </w:style>
  <w:style w:type="paragraph" w:customStyle="1" w:styleId="24">
    <w:name w:val="Колонтитул (2)"/>
    <w:basedOn w:val="a"/>
    <w:link w:val="23"/>
    <w:uiPriority w:val="99"/>
    <w:rsid w:val="002C547F"/>
    <w:pPr>
      <w:widowControl w:val="0"/>
    </w:pPr>
    <w:rPr>
      <w:rFonts w:eastAsia="Calibri"/>
      <w:color w:val="auto"/>
      <w:kern w:val="0"/>
    </w:rPr>
  </w:style>
  <w:style w:type="paragraph" w:styleId="af0">
    <w:name w:val="Normal (Web)"/>
    <w:basedOn w:val="a"/>
    <w:uiPriority w:val="99"/>
    <w:unhideWhenUsed/>
    <w:qFormat/>
    <w:rsid w:val="00846A49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2228"/>
    <w:rPr>
      <w:rFonts w:ascii="Times New Roman" w:eastAsia="Times New Roman" w:hAnsi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2228"/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af1">
    <w:name w:val="No Spacing"/>
    <w:link w:val="af2"/>
    <w:uiPriority w:val="1"/>
    <w:qFormat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Основной текст_"/>
    <w:basedOn w:val="a0"/>
    <w:link w:val="11"/>
    <w:rsid w:val="00BD222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f3"/>
    <w:rsid w:val="00BD2228"/>
    <w:pPr>
      <w:widowControl w:val="0"/>
      <w:ind w:firstLine="280"/>
    </w:pPr>
    <w:rPr>
      <w:rFonts w:ascii="Arial" w:eastAsia="Arial" w:hAnsi="Arial" w:cs="Arial"/>
      <w:color w:val="auto"/>
      <w:kern w:val="0"/>
      <w:sz w:val="18"/>
      <w:szCs w:val="18"/>
    </w:rPr>
  </w:style>
  <w:style w:type="character" w:customStyle="1" w:styleId="25">
    <w:name w:val="Основной текст (2)_"/>
    <w:basedOn w:val="a0"/>
    <w:link w:val="26"/>
    <w:rsid w:val="00BD2228"/>
    <w:rPr>
      <w:rFonts w:ascii="Arial" w:eastAsia="Arial" w:hAnsi="Arial" w:cs="Arial"/>
      <w:b/>
      <w:bCs/>
      <w:sz w:val="19"/>
      <w:szCs w:val="19"/>
    </w:rPr>
  </w:style>
  <w:style w:type="character" w:customStyle="1" w:styleId="af4">
    <w:name w:val="Подпись к картинке_"/>
    <w:basedOn w:val="a0"/>
    <w:link w:val="af5"/>
    <w:rsid w:val="00BD2228"/>
    <w:rPr>
      <w:rFonts w:ascii="Arial" w:eastAsia="Arial" w:hAnsi="Arial" w:cs="Arial"/>
      <w:b/>
      <w:bCs/>
      <w:sz w:val="14"/>
      <w:szCs w:val="14"/>
    </w:rPr>
  </w:style>
  <w:style w:type="paragraph" w:customStyle="1" w:styleId="26">
    <w:name w:val="Основной текст (2)"/>
    <w:basedOn w:val="a"/>
    <w:link w:val="25"/>
    <w:rsid w:val="00BD2228"/>
    <w:pPr>
      <w:widowControl w:val="0"/>
    </w:pPr>
    <w:rPr>
      <w:rFonts w:ascii="Arial" w:eastAsia="Arial" w:hAnsi="Arial" w:cs="Arial"/>
      <w:b/>
      <w:bCs/>
      <w:color w:val="auto"/>
      <w:kern w:val="0"/>
      <w:sz w:val="19"/>
      <w:szCs w:val="19"/>
    </w:rPr>
  </w:style>
  <w:style w:type="paragraph" w:customStyle="1" w:styleId="af5">
    <w:name w:val="Подпись к картинке"/>
    <w:basedOn w:val="a"/>
    <w:link w:val="af4"/>
    <w:rsid w:val="00BD2228"/>
    <w:pPr>
      <w:widowControl w:val="0"/>
      <w:jc w:val="center"/>
    </w:pPr>
    <w:rPr>
      <w:rFonts w:ascii="Arial" w:eastAsia="Arial" w:hAnsi="Arial" w:cs="Arial"/>
      <w:b/>
      <w:bCs/>
      <w:color w:val="auto"/>
      <w:kern w:val="0"/>
      <w:sz w:val="14"/>
      <w:szCs w:val="14"/>
    </w:rPr>
  </w:style>
  <w:style w:type="paragraph" w:customStyle="1" w:styleId="COLBOTTOM">
    <w:name w:val="#COL_BOTTOM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BODY">
    <w:name w:val="BODY"/>
    <w:uiPriority w:val="99"/>
    <w:rsid w:val="00B9777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89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73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80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4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38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9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0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8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Microsoft\&#1064;&#1072;&#1073;&#1083;&#1086;&#1085;&#1099;\&#1055;&#1083;&#1072;&#1082;&#1072;&#1090;%20&#1089;%20&#1086;&#1073;&#1098;&#1077;&#1082;&#1090;&#1086;&#1084;%20&#1085;&#1077;&#1076;&#1074;&#1080;&#1078;&#1080;&#1084;&#1086;&#1089;&#1090;&#1080;%20(&#1075;&#1086;&#1088;&#1080;&#1079;&#1086;&#1085;&#1090;&#1072;&#1083;&#1100;&#1085;&#1099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Плакат с объектом недвижимости (горизонтальный)</Template>
  <TotalTime>0</TotalTime>
  <Pages>8</Pages>
  <Words>1670</Words>
  <Characters>9522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Виктор Чудов</cp:lastModifiedBy>
  <cp:revision>201</cp:revision>
  <cp:lastPrinted>2022-11-24T11:27:00Z</cp:lastPrinted>
  <dcterms:created xsi:type="dcterms:W3CDTF">2023-03-13T05:35:00Z</dcterms:created>
  <dcterms:modified xsi:type="dcterms:W3CDTF">2024-03-04T06:31:00Z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